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theme/themeOverride4.xml" ContentType="application/vnd.openxmlformats-officedocument.themeOverride+xml"/>
  <Override PartName="/word/theme/themeOverride5.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Default Extension="wmf" ContentType="image/x-w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4A3" w:rsidRPr="009624A3" w:rsidRDefault="009624A3" w:rsidP="009624A3">
      <w:pPr>
        <w:pStyle w:val="Ttulo1"/>
        <w:spacing w:line="360" w:lineRule="auto"/>
        <w:jc w:val="both"/>
        <w:rPr>
          <w:rFonts w:ascii="Arial" w:hAnsi="Arial" w:cs="Arial"/>
          <w:b/>
          <w:szCs w:val="24"/>
        </w:rPr>
      </w:pPr>
      <w:r w:rsidRPr="009624A3">
        <w:rPr>
          <w:rFonts w:ascii="Arial" w:hAnsi="Arial" w:cs="Arial"/>
          <w:szCs w:val="24"/>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71" type="#_x0000_t156" style="width:441pt;height:64.5pt" fillcolor="red" strokecolor="#00b050">
            <v:fill opacity="52429f" color2="#099" focus="100%" type="gradient"/>
            <v:shadow on="t" color="silver" opacity="52429f" offset="3pt,3pt"/>
            <v:textpath style="font-family:&quot;Arial Unicode MS&quot;;font-weight:bold;v-text-kern:t" trim="t" fitpath="t" xscale="f" string="SITUACION FINANCIERA"/>
          </v:shape>
        </w:pict>
      </w:r>
    </w:p>
    <w:p w:rsidR="009624A3" w:rsidRPr="009624A3" w:rsidRDefault="009624A3" w:rsidP="009624A3">
      <w:pPr>
        <w:pStyle w:val="Ttulo1"/>
        <w:spacing w:line="360" w:lineRule="auto"/>
        <w:jc w:val="both"/>
        <w:rPr>
          <w:rFonts w:ascii="Arial" w:hAnsi="Arial" w:cs="Arial"/>
          <w:b/>
          <w:szCs w:val="24"/>
        </w:rPr>
      </w:pPr>
    </w:p>
    <w:p w:rsidR="009624A3" w:rsidRPr="009624A3" w:rsidRDefault="009624A3" w:rsidP="009624A3">
      <w:pPr>
        <w:pStyle w:val="Ttulo1"/>
        <w:spacing w:line="360" w:lineRule="auto"/>
        <w:jc w:val="both"/>
        <w:rPr>
          <w:rFonts w:ascii="Arial" w:hAnsi="Arial" w:cs="Arial"/>
          <w:b/>
          <w:szCs w:val="24"/>
        </w:rPr>
      </w:pPr>
    </w:p>
    <w:p w:rsidR="009624A3" w:rsidRPr="009624A3" w:rsidRDefault="009624A3" w:rsidP="009624A3">
      <w:pPr>
        <w:pStyle w:val="Ttulo1"/>
        <w:spacing w:line="360" w:lineRule="auto"/>
        <w:jc w:val="both"/>
        <w:rPr>
          <w:rFonts w:ascii="Arial" w:hAnsi="Arial" w:cs="Arial"/>
          <w:b/>
          <w:szCs w:val="24"/>
        </w:rPr>
      </w:pPr>
    </w:p>
    <w:p w:rsidR="00B51D37" w:rsidRPr="009624A3" w:rsidRDefault="00B51D37" w:rsidP="009624A3">
      <w:pPr>
        <w:pStyle w:val="Ttulo1"/>
        <w:spacing w:line="360" w:lineRule="auto"/>
        <w:jc w:val="both"/>
        <w:rPr>
          <w:rFonts w:ascii="Arial" w:hAnsi="Arial" w:cs="Arial"/>
          <w:b/>
          <w:szCs w:val="24"/>
        </w:rPr>
      </w:pPr>
      <w:r w:rsidRPr="009624A3">
        <w:rPr>
          <w:rFonts w:ascii="Arial" w:hAnsi="Arial" w:cs="Arial"/>
          <w:b/>
          <w:szCs w:val="24"/>
        </w:rPr>
        <w:t>ANÁLISIS DE  INFORMACIÓN FINANCIERA TUNUNGUA</w:t>
      </w:r>
    </w:p>
    <w:p w:rsidR="00B51D37" w:rsidRPr="009624A3" w:rsidRDefault="00B51D37" w:rsidP="009624A3">
      <w:pPr>
        <w:spacing w:line="360" w:lineRule="auto"/>
        <w:jc w:val="both"/>
        <w:rPr>
          <w:rFonts w:ascii="Arial" w:hAnsi="Arial" w:cs="Arial"/>
          <w:sz w:val="24"/>
          <w:szCs w:val="24"/>
        </w:rPr>
      </w:pPr>
    </w:p>
    <w:p w:rsidR="00B51D37" w:rsidRPr="009624A3" w:rsidRDefault="00B51D37" w:rsidP="009624A3">
      <w:pPr>
        <w:pStyle w:val="Textoindependiente"/>
        <w:spacing w:line="360" w:lineRule="auto"/>
        <w:rPr>
          <w:rFonts w:ascii="Arial" w:hAnsi="Arial" w:cs="Arial"/>
          <w:b w:val="0"/>
          <w:szCs w:val="24"/>
          <w:lang w:val="es-ES"/>
        </w:rPr>
      </w:pPr>
      <w:r w:rsidRPr="009624A3">
        <w:rPr>
          <w:rFonts w:ascii="Arial" w:hAnsi="Arial" w:cs="Arial"/>
          <w:b w:val="0"/>
          <w:szCs w:val="24"/>
        </w:rPr>
        <w:t>A partir de la reclasificación de las cuentas del presupuesto entregado por el municipio,</w:t>
      </w:r>
      <w:r w:rsidRPr="009624A3">
        <w:rPr>
          <w:rFonts w:ascii="Arial" w:hAnsi="Arial" w:cs="Arial"/>
          <w:b w:val="0"/>
          <w:szCs w:val="24"/>
          <w:lang w:val="es-ES"/>
        </w:rPr>
        <w:t xml:space="preserve"> </w:t>
      </w:r>
      <w:r w:rsidRPr="009624A3">
        <w:rPr>
          <w:rFonts w:ascii="Arial" w:hAnsi="Arial" w:cs="Arial"/>
          <w:b w:val="0"/>
          <w:szCs w:val="24"/>
        </w:rPr>
        <w:t xml:space="preserve">siguiendo la metodología definida por </w:t>
      </w:r>
      <w:r w:rsidRPr="009624A3">
        <w:rPr>
          <w:rFonts w:ascii="Arial" w:hAnsi="Arial" w:cs="Arial"/>
          <w:b w:val="0"/>
          <w:szCs w:val="24"/>
          <w:lang w:val="es-ES"/>
        </w:rPr>
        <w:t xml:space="preserve">la Dirección de Desarrollo Territorial, </w:t>
      </w:r>
      <w:r w:rsidRPr="009624A3">
        <w:rPr>
          <w:rFonts w:ascii="Arial" w:hAnsi="Arial" w:cs="Arial"/>
          <w:b w:val="0"/>
          <w:szCs w:val="24"/>
        </w:rPr>
        <w:t>se hizo un  análisis financiero de tipo cuantitativo y cualitativo a  partir de indicadores</w:t>
      </w:r>
      <w:r w:rsidRPr="009624A3">
        <w:rPr>
          <w:rFonts w:ascii="Arial" w:hAnsi="Arial" w:cs="Arial"/>
          <w:b w:val="0"/>
          <w:szCs w:val="24"/>
          <w:lang w:val="es-ES"/>
        </w:rPr>
        <w:t xml:space="preserve"> que permiten identificar falencias, problemas, sus causas y consecuencias, sobre las finanzas públicas del municipio.</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spacing w:line="360" w:lineRule="auto"/>
        <w:jc w:val="both"/>
        <w:rPr>
          <w:rFonts w:ascii="Arial" w:hAnsi="Arial" w:cs="Arial"/>
          <w:sz w:val="24"/>
          <w:szCs w:val="24"/>
        </w:rPr>
      </w:pPr>
      <w:r w:rsidRPr="009624A3">
        <w:rPr>
          <w:rFonts w:ascii="Arial" w:hAnsi="Arial" w:cs="Arial"/>
          <w:sz w:val="24"/>
          <w:szCs w:val="24"/>
        </w:rPr>
        <w:t>El periodo de análisis corresponde a los años 2004-2007 y toma la información de las ejecuciones presupuestales de cada uno de esos años, previa conversión de los valores a pesos constantes de 2007, utilizando el “Deflactor Implícito del Producto Interno Bruto” con el objeto de hacer el estudio en términos reales.</w:t>
      </w:r>
    </w:p>
    <w:p w:rsidR="00B51D37" w:rsidRPr="009624A3" w:rsidRDefault="00B51D37" w:rsidP="009624A3">
      <w:pPr>
        <w:pStyle w:val="Ttulo1"/>
        <w:spacing w:line="360" w:lineRule="auto"/>
        <w:jc w:val="both"/>
        <w:rPr>
          <w:rFonts w:ascii="Arial" w:hAnsi="Arial" w:cs="Arial"/>
          <w:szCs w:val="24"/>
        </w:rPr>
      </w:pPr>
    </w:p>
    <w:p w:rsidR="00B51D37" w:rsidRPr="009624A3" w:rsidRDefault="00B51D37" w:rsidP="009624A3">
      <w:pPr>
        <w:pStyle w:val="Textoindependiente"/>
        <w:spacing w:line="360" w:lineRule="auto"/>
        <w:jc w:val="center"/>
        <w:rPr>
          <w:rFonts w:ascii="Arial" w:hAnsi="Arial" w:cs="Arial"/>
          <w:b w:val="0"/>
          <w:szCs w:val="24"/>
        </w:rPr>
      </w:pPr>
    </w:p>
    <w:p w:rsidR="00B51D37" w:rsidRPr="009624A3" w:rsidRDefault="00B51D37" w:rsidP="009624A3">
      <w:pPr>
        <w:spacing w:line="360" w:lineRule="auto"/>
        <w:jc w:val="center"/>
        <w:rPr>
          <w:rFonts w:ascii="Arial" w:hAnsi="Arial" w:cs="Arial"/>
          <w:b/>
          <w:sz w:val="24"/>
          <w:szCs w:val="24"/>
        </w:rPr>
      </w:pPr>
      <w:r w:rsidRPr="009624A3">
        <w:rPr>
          <w:rFonts w:ascii="Arial" w:hAnsi="Arial" w:cs="Arial"/>
          <w:b/>
          <w:sz w:val="24"/>
          <w:szCs w:val="24"/>
        </w:rPr>
        <w:t>OPERACIONES EFECTIVAS DE CAJA 2004 – 2007</w:t>
      </w:r>
    </w:p>
    <w:p w:rsidR="00B51D37" w:rsidRPr="009624A3" w:rsidRDefault="00B51D37" w:rsidP="009624A3">
      <w:pPr>
        <w:spacing w:line="360" w:lineRule="auto"/>
        <w:jc w:val="center"/>
        <w:rPr>
          <w:rFonts w:ascii="Arial" w:hAnsi="Arial" w:cs="Arial"/>
          <w:b/>
          <w:sz w:val="24"/>
          <w:szCs w:val="24"/>
        </w:rPr>
      </w:pPr>
      <w:r w:rsidRPr="009624A3">
        <w:rPr>
          <w:rFonts w:ascii="Arial" w:hAnsi="Arial" w:cs="Arial"/>
          <w:b/>
          <w:sz w:val="24"/>
          <w:szCs w:val="24"/>
        </w:rPr>
        <w:t>INGRESOS Y GASTOS CORRIENTES</w:t>
      </w:r>
    </w:p>
    <w:p w:rsidR="00B51D37" w:rsidRPr="009624A3" w:rsidRDefault="00B51D37" w:rsidP="009624A3">
      <w:pPr>
        <w:spacing w:line="360" w:lineRule="auto"/>
        <w:jc w:val="center"/>
        <w:rPr>
          <w:rFonts w:ascii="Arial" w:hAnsi="Arial" w:cs="Arial"/>
          <w:b/>
          <w:sz w:val="24"/>
          <w:szCs w:val="24"/>
        </w:rPr>
      </w:pPr>
      <w:r w:rsidRPr="009624A3">
        <w:rPr>
          <w:rFonts w:ascii="Arial" w:hAnsi="Arial" w:cs="Arial"/>
          <w:b/>
          <w:sz w:val="24"/>
          <w:szCs w:val="24"/>
        </w:rPr>
        <w:t>(Miles de Pesos Constantes Base 2007)</w:t>
      </w:r>
    </w:p>
    <w:tbl>
      <w:tblPr>
        <w:tblW w:w="0" w:type="auto"/>
        <w:tblLayout w:type="fixed"/>
        <w:tblCellMar>
          <w:left w:w="30" w:type="dxa"/>
          <w:right w:w="30" w:type="dxa"/>
        </w:tblCellMar>
        <w:tblLook w:val="0000"/>
      </w:tblPr>
      <w:tblGrid>
        <w:gridCol w:w="617"/>
        <w:gridCol w:w="2390"/>
        <w:gridCol w:w="1276"/>
        <w:gridCol w:w="1451"/>
        <w:gridCol w:w="1451"/>
        <w:gridCol w:w="1451"/>
      </w:tblGrid>
      <w:tr w:rsidR="00B51D37" w:rsidRPr="009624A3" w:rsidTr="002169A2">
        <w:trPr>
          <w:trHeight w:val="264"/>
        </w:trPr>
        <w:tc>
          <w:tcPr>
            <w:tcW w:w="617" w:type="dxa"/>
            <w:tcBorders>
              <w:top w:val="single" w:sz="12" w:space="0" w:color="000000"/>
              <w:left w:val="single" w:sz="12" w:space="0" w:color="000000"/>
              <w:bottom w:val="single" w:sz="1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Cód.</w:t>
            </w:r>
          </w:p>
        </w:tc>
        <w:tc>
          <w:tcPr>
            <w:tcW w:w="2390" w:type="dxa"/>
            <w:tcBorders>
              <w:top w:val="single" w:sz="12" w:space="0" w:color="auto"/>
              <w:left w:val="single" w:sz="12" w:space="0" w:color="auto"/>
              <w:bottom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CUENTAS O.E.C.</w:t>
            </w:r>
          </w:p>
        </w:tc>
        <w:tc>
          <w:tcPr>
            <w:tcW w:w="1276" w:type="dxa"/>
            <w:tcBorders>
              <w:top w:val="single" w:sz="12" w:space="0" w:color="auto"/>
              <w:left w:val="single" w:sz="6" w:space="0" w:color="auto"/>
              <w:bottom w:val="single" w:sz="12"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2004</w:t>
            </w:r>
          </w:p>
        </w:tc>
        <w:tc>
          <w:tcPr>
            <w:tcW w:w="1451" w:type="dxa"/>
            <w:tcBorders>
              <w:top w:val="single" w:sz="12" w:space="0" w:color="auto"/>
              <w:left w:val="single" w:sz="6" w:space="0" w:color="auto"/>
              <w:bottom w:val="single" w:sz="12"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2005</w:t>
            </w:r>
          </w:p>
        </w:tc>
        <w:tc>
          <w:tcPr>
            <w:tcW w:w="1451" w:type="dxa"/>
            <w:tcBorders>
              <w:top w:val="single" w:sz="12" w:space="0" w:color="auto"/>
              <w:left w:val="single" w:sz="6" w:space="0" w:color="auto"/>
              <w:bottom w:val="single" w:sz="12"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2006</w:t>
            </w:r>
          </w:p>
        </w:tc>
        <w:tc>
          <w:tcPr>
            <w:tcW w:w="1451" w:type="dxa"/>
            <w:tcBorders>
              <w:top w:val="single" w:sz="12" w:space="0" w:color="auto"/>
              <w:left w:val="single" w:sz="6" w:space="0" w:color="auto"/>
              <w:bottom w:val="single" w:sz="12"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2007</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A</w:t>
            </w:r>
          </w:p>
        </w:tc>
        <w:tc>
          <w:tcPr>
            <w:tcW w:w="2390" w:type="dxa"/>
            <w:tcBorders>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INGRESOS CORRIENTES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509,604,589</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450,670,666</w:t>
            </w:r>
          </w:p>
        </w:tc>
        <w:tc>
          <w:tcPr>
            <w:tcW w:w="1451" w:type="dxa"/>
            <w:tcBorders>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667,356,397</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Ingresos Tributarios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35,913,541</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41,525,546</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59,591,806</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Predial</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18,849,504</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15,200,513</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20,000,000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lastRenderedPageBreak/>
              <w:t>1.2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Industria y Comercio</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2,617,987</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18,166,198</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29,382,668</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1.3</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14,446,050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8,158,834</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10,209,138</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Ingresos no Tributarios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10,978,303</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33,809,123</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28,519,270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Tasas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7,204,699</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33,809,123</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28,519,270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Rentas Contractuales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498,046</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2.3</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3,275,558</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3.</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Transferencias corrientes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462,712,745</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375,335,997</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579,245,321</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Nacionales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Aportes y Participac. (libre Destinac.)</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447,064,437</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366,727,610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579,245,321</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3.4</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Departamentales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11,245,901</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8,608,387</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579,245,321</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3.5</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4,402,406</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B</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PAGOS CORRIENTES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458,402,211</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467,960,873</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485,033,877</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Pagos de funcionamiento</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458,402,211</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467,960,873</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485,033,877</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Servicios personales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203,500,620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207,744,041</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215,323,339</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Gastos generales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212,201,048</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216,625,892</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224,529,234</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1.3</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Transferencias de nómina</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42,700,542</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43,590,940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45,181,304</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Intereses de la deuda</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3</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Otros gastos corrientes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C.</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DEFICIT O AHORRO CORRIENTE (A-B)</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51,202,378</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-17,290,207</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182,322,520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D.</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INGRESOS DE CAPITAL</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1,646,992,944</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1,952,529,801</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2,187,450,150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Regalías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Participación forzosa inversión (SGP, ICN)</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1,409,265,503</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1,767,212,336</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2,000,833,488</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Cofinanciación</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5</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237,727,442</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185,317,464</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186,616,662</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lastRenderedPageBreak/>
              <w:t>E.</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PAGOS DE CAPITAL (INVERSION)</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1,758,692</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1,889,591,054</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1</w:t>
            </w:r>
          </w:p>
        </w:tc>
        <w:tc>
          <w:tcPr>
            <w:tcW w:w="2390" w:type="dxa"/>
            <w:tcBorders>
              <w:top w:val="single" w:sz="2" w:space="0" w:color="000000"/>
              <w:left w:val="single" w:sz="12" w:space="0" w:color="auto"/>
              <w:bottom w:val="single" w:sz="2" w:space="0" w:color="000000"/>
              <w:right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INVERSIÓN P.I.C.N. - S.G.P.</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1,758,692</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1,889,591,054</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INVERSIÓN P.I.C.N. - S.G.P. FORZOSA</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1,758,692</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1,889,591,054</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2,905,962,939</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1.1.1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Formación Bruta de Capital Fijo</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280,529</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667,829,694</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747,567,327</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1.1.2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1,478,163</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1,221,761,360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2,158,395,612</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INVERSIÓN P.I.C.N. - S.G.P. LIBRE</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1.2.1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Formación Bruta de Capital Fijo</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1.2.2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INVERSIÓN 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Formación Bruta de Capital Fijo</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F.</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DEFICIT O SUPERAVIT TOTAL (C+D-E)</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1,696,436,630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45,648,539</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2,183,156,008</w:t>
            </w: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G.</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FINANCIAMIENTO</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Crédito externo (a-b)</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a</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Desembolsos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b</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Amortizaciones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2</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Variación de Depósitos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i/>
                <w:snapToGrid w:val="0"/>
                <w:color w:val="000000"/>
                <w:sz w:val="16"/>
                <w:szCs w:val="16"/>
              </w:rPr>
            </w:pPr>
          </w:p>
        </w:tc>
      </w:tr>
      <w:tr w:rsidR="00B51D37" w:rsidRPr="009624A3" w:rsidTr="002169A2">
        <w:trPr>
          <w:trHeight w:val="250"/>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3</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i/>
                <w:snapToGrid w:val="0"/>
                <w:color w:val="000000"/>
                <w:sz w:val="16"/>
                <w:szCs w:val="16"/>
              </w:rPr>
            </w:pPr>
            <w:r w:rsidRPr="009624A3">
              <w:rPr>
                <w:rFonts w:ascii="Arial" w:hAnsi="Arial" w:cs="Arial"/>
                <w:i/>
                <w:snapToGrid w:val="0"/>
                <w:color w:val="000000"/>
                <w:sz w:val="16"/>
                <w:szCs w:val="16"/>
              </w:rPr>
              <w:t>Otros</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r w:rsidR="00B51D37" w:rsidRPr="009624A3" w:rsidTr="002169A2">
        <w:trPr>
          <w:trHeight w:val="695"/>
        </w:trPr>
        <w:tc>
          <w:tcPr>
            <w:tcW w:w="617" w:type="dxa"/>
            <w:tcBorders>
              <w:top w:val="single" w:sz="2" w:space="0" w:color="000000"/>
              <w:left w:val="single" w:sz="12" w:space="0" w:color="000000"/>
              <w:bottom w:val="single" w:sz="2" w:space="0" w:color="000000"/>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3.1</w:t>
            </w:r>
          </w:p>
        </w:tc>
        <w:tc>
          <w:tcPr>
            <w:tcW w:w="2390" w:type="dxa"/>
            <w:tcBorders>
              <w:top w:val="single" w:sz="6" w:space="0" w:color="auto"/>
              <w:left w:val="single" w:sz="12" w:space="0" w:color="auto"/>
              <w:bottom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Recursos del Balance</w:t>
            </w:r>
          </w:p>
        </w:tc>
        <w:tc>
          <w:tcPr>
            <w:tcW w:w="1276"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left w:val="single" w:sz="6" w:space="0" w:color="auto"/>
              <w:bottom w:val="single" w:sz="6" w:space="0" w:color="auto"/>
              <w:right w:val="single" w:sz="6" w:space="0" w:color="auto"/>
            </w:tcBorders>
          </w:tcPr>
          <w:p w:rsidR="00B51D37" w:rsidRPr="009624A3" w:rsidRDefault="00B51D37" w:rsidP="009624A3">
            <w:pPr>
              <w:spacing w:line="360" w:lineRule="auto"/>
              <w:jc w:val="both"/>
              <w:rPr>
                <w:rFonts w:ascii="Arial" w:hAnsi="Arial" w:cs="Arial"/>
                <w:snapToGrid w:val="0"/>
                <w:color w:val="000000"/>
                <w:sz w:val="16"/>
                <w:szCs w:val="16"/>
              </w:rPr>
            </w:pPr>
            <w:r w:rsidRPr="009624A3">
              <w:rPr>
                <w:rFonts w:ascii="Arial" w:hAnsi="Arial" w:cs="Arial"/>
                <w:snapToGrid w:val="0"/>
                <w:color w:val="000000"/>
                <w:sz w:val="16"/>
                <w:szCs w:val="16"/>
              </w:rPr>
              <w:t>0</w:t>
            </w:r>
          </w:p>
        </w:tc>
        <w:tc>
          <w:tcPr>
            <w:tcW w:w="1451" w:type="dxa"/>
            <w:tcBorders>
              <w:top w:val="single" w:sz="6" w:space="0" w:color="auto"/>
              <w:left w:val="single" w:sz="6" w:space="0" w:color="auto"/>
              <w:bottom w:val="single" w:sz="6" w:space="0" w:color="auto"/>
              <w:right w:val="single" w:sz="12" w:space="0" w:color="auto"/>
            </w:tcBorders>
          </w:tcPr>
          <w:p w:rsidR="00B51D37" w:rsidRPr="009624A3" w:rsidRDefault="00B51D37" w:rsidP="009624A3">
            <w:pPr>
              <w:spacing w:line="360" w:lineRule="auto"/>
              <w:jc w:val="both"/>
              <w:rPr>
                <w:rFonts w:ascii="Arial" w:hAnsi="Arial" w:cs="Arial"/>
                <w:snapToGrid w:val="0"/>
                <w:color w:val="000000"/>
                <w:sz w:val="16"/>
                <w:szCs w:val="16"/>
              </w:rPr>
            </w:pPr>
          </w:p>
        </w:tc>
      </w:tr>
    </w:tbl>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 w:val="20"/>
        </w:rPr>
        <w:t>Cuadro No. 1. Fuente: Ejecuciones presupuestales 2004-2007</w:t>
      </w:r>
      <w:r w:rsidRPr="009624A3">
        <w:rPr>
          <w:rFonts w:ascii="Arial" w:hAnsi="Arial" w:cs="Arial"/>
          <w:b w:val="0"/>
          <w:szCs w:val="24"/>
        </w:rPr>
        <w:t>.</w:t>
      </w:r>
    </w:p>
    <w:p w:rsidR="009624A3" w:rsidRDefault="009624A3" w:rsidP="009624A3">
      <w:pPr>
        <w:pStyle w:val="Ttulo1"/>
        <w:spacing w:line="360" w:lineRule="auto"/>
        <w:jc w:val="both"/>
        <w:rPr>
          <w:rFonts w:ascii="Arial" w:hAnsi="Arial" w:cs="Arial"/>
          <w:b/>
          <w:szCs w:val="24"/>
        </w:rPr>
      </w:pPr>
    </w:p>
    <w:p w:rsidR="009624A3" w:rsidRDefault="009624A3" w:rsidP="009624A3">
      <w:pPr>
        <w:pStyle w:val="Ttulo1"/>
        <w:spacing w:line="360" w:lineRule="auto"/>
        <w:jc w:val="both"/>
        <w:rPr>
          <w:rFonts w:ascii="Arial" w:hAnsi="Arial" w:cs="Arial"/>
          <w:b/>
          <w:szCs w:val="24"/>
        </w:rPr>
      </w:pPr>
    </w:p>
    <w:p w:rsidR="009624A3" w:rsidRPr="009624A3" w:rsidRDefault="009624A3" w:rsidP="009624A3">
      <w:pPr>
        <w:rPr>
          <w:lang w:val="es-ES" w:eastAsia="es-ES"/>
        </w:rPr>
      </w:pPr>
    </w:p>
    <w:p w:rsidR="00B51D37" w:rsidRDefault="009624A3" w:rsidP="009624A3">
      <w:pPr>
        <w:pStyle w:val="Ttulo1"/>
        <w:spacing w:line="360" w:lineRule="auto"/>
        <w:jc w:val="both"/>
        <w:rPr>
          <w:rFonts w:ascii="Arial" w:hAnsi="Arial" w:cs="Arial"/>
          <w:b/>
          <w:szCs w:val="24"/>
        </w:rPr>
      </w:pPr>
      <w:r w:rsidRPr="009624A3">
        <w:rPr>
          <w:rFonts w:ascii="Arial" w:hAnsi="Arial" w:cs="Arial"/>
          <w:b/>
          <w:szCs w:val="24"/>
        </w:rPr>
        <w:lastRenderedPageBreak/>
        <w:t xml:space="preserve">INGRESOS PROPIOS </w:t>
      </w:r>
    </w:p>
    <w:p w:rsidR="009624A3" w:rsidRPr="009624A3" w:rsidRDefault="009624A3" w:rsidP="009624A3">
      <w:pPr>
        <w:rPr>
          <w:lang w:val="es-ES" w:eastAsia="es-ES"/>
        </w:rPr>
      </w:pPr>
    </w:p>
    <w:p w:rsidR="00B51D37" w:rsidRPr="009624A3" w:rsidRDefault="00B51D37" w:rsidP="009624A3">
      <w:pPr>
        <w:pStyle w:val="Textoindependiente2"/>
        <w:spacing w:line="360" w:lineRule="auto"/>
        <w:jc w:val="both"/>
        <w:rPr>
          <w:rFonts w:ascii="Arial" w:hAnsi="Arial" w:cs="Arial"/>
        </w:rPr>
      </w:pPr>
      <w:r w:rsidRPr="009624A3">
        <w:rPr>
          <w:rFonts w:ascii="Arial" w:hAnsi="Arial" w:cs="Arial"/>
        </w:rPr>
        <w:t>Para el periodo 2004-2007 los ingresos propios (tributarios y no tributarios) del municipio de Tunungua representan alrededor del   8% dentro de los ingresos corrientes, con una tendencia creciente en los últimos años, sin embargo se deben tomar medidas por parte de la administración para mejorar los recaudos.</w:t>
      </w:r>
    </w:p>
    <w:p w:rsidR="00B51D37" w:rsidRPr="009624A3" w:rsidRDefault="00B51D37" w:rsidP="009624A3">
      <w:pPr>
        <w:pStyle w:val="Textoindependiente2"/>
        <w:spacing w:line="360" w:lineRule="auto"/>
        <w:jc w:val="both"/>
        <w:rPr>
          <w:rFonts w:ascii="Arial" w:hAnsi="Arial" w:cs="Arial"/>
        </w:rPr>
      </w:pPr>
    </w:p>
    <w:p w:rsidR="00B51D37" w:rsidRPr="009624A3" w:rsidRDefault="00B51D37" w:rsidP="009624A3">
      <w:pPr>
        <w:pStyle w:val="Textoindependiente2"/>
        <w:spacing w:line="360" w:lineRule="auto"/>
        <w:jc w:val="both"/>
        <w:rPr>
          <w:rFonts w:ascii="Arial" w:hAnsi="Arial" w:cs="Arial"/>
        </w:rPr>
      </w:pPr>
      <w:r w:rsidRPr="009624A3">
        <w:rPr>
          <w:rFonts w:ascii="Arial" w:hAnsi="Arial" w:cs="Arial"/>
        </w:rPr>
        <w:t>Dentro de los ingresos tributarios, el recaudo de mayor importancia lo constituye el impuesto predial, el cual representa aproximadamente el 41% en el período analizado.</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9624A3" w:rsidP="009624A3">
      <w:pPr>
        <w:pStyle w:val="Textoindependiente"/>
        <w:spacing w:line="360" w:lineRule="auto"/>
        <w:rPr>
          <w:rFonts w:ascii="Arial" w:hAnsi="Arial" w:cs="Arial"/>
          <w:szCs w:val="24"/>
        </w:rPr>
      </w:pPr>
      <w:r w:rsidRPr="009624A3">
        <w:rPr>
          <w:rFonts w:ascii="Arial" w:hAnsi="Arial" w:cs="Arial"/>
          <w:szCs w:val="24"/>
        </w:rPr>
        <w:t xml:space="preserve">IMPUESTO PREDIAL: </w:t>
      </w:r>
    </w:p>
    <w:p w:rsidR="00B51D37" w:rsidRDefault="00B51D37" w:rsidP="009624A3">
      <w:pPr>
        <w:pStyle w:val="Textoindependiente"/>
        <w:spacing w:line="360" w:lineRule="auto"/>
        <w:rPr>
          <w:rFonts w:ascii="Arial" w:hAnsi="Arial" w:cs="Arial"/>
          <w:b w:val="0"/>
          <w:szCs w:val="24"/>
        </w:rPr>
      </w:pPr>
    </w:p>
    <w:p w:rsidR="009624A3" w:rsidRPr="009624A3" w:rsidRDefault="009624A3"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Con respecto a este gravamen al examinar año tras año  la variación marginal del recaudo entre 2005 y 2006 el decrecimiento real del recaudo fue del 19% ya que por cada 1000 pesos que se recaudaron en el 2005, se dejaron de percibir 190 pesos en el siguiente año y entre el 2006 y 2007 la variación marginal creció  a un 32%; en general el impuesto predial durante el período de tiempo en consideración presenta declive al comienzo, pero luego se observó en los años siguientes una recuperación. La tasa de crecimiento real promedio  se calculo en 2% de lo que se deduce que el municipio presenta baja capacidad  adquisitiva para compra de bienes y servicios durante el período estudiado.</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Fórmula utilizada para hallar la variación marginal del recaudo   (</w:t>
      </w:r>
      <w:r w:rsidRPr="009624A3">
        <w:rPr>
          <w:rFonts w:ascii="Arial" w:hAnsi="Arial" w:cs="Arial"/>
          <w:b w:val="0"/>
          <w:position w:val="-4"/>
          <w:szCs w:val="24"/>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fillcolor="window">
            <v:imagedata r:id="rId6" o:title=""/>
          </v:shape>
          <o:OLEObject Type="Embed" ProgID="Equation.3" ShapeID="_x0000_i1025" DrawAspect="Content" ObjectID="_1271809583" r:id="rId7"/>
        </w:object>
      </w:r>
      <w:r w:rsidRPr="009624A3">
        <w:rPr>
          <w:rFonts w:ascii="Arial" w:hAnsi="Arial" w:cs="Arial"/>
          <w:b w:val="0"/>
          <w:szCs w:val="24"/>
        </w:rPr>
        <w:t>)</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2"/>
          <w:szCs w:val="24"/>
        </w:rPr>
        <w:object w:dxaOrig="279" w:dyaOrig="360">
          <v:shape id="_x0000_i1026" type="#_x0000_t75" style="width:14.25pt;height:18pt" o:ole="" fillcolor="window">
            <v:imagedata r:id="rId8" o:title=""/>
          </v:shape>
          <o:OLEObject Type="Embed" ProgID="Equation.3" ShapeID="_x0000_i1026" DrawAspect="Content" ObjectID="_1271809584" r:id="rId9"/>
        </w:object>
      </w:r>
      <w:r w:rsidRPr="009624A3">
        <w:rPr>
          <w:rFonts w:ascii="Arial" w:hAnsi="Arial" w:cs="Arial"/>
          <w:b w:val="0"/>
          <w:position w:val="-10"/>
          <w:szCs w:val="24"/>
        </w:rPr>
        <w:object w:dxaOrig="180" w:dyaOrig="340">
          <v:shape id="_x0000_i1027" type="#_x0000_t75" style="width:9pt;height:16.5pt" o:ole="" fillcolor="window">
            <v:imagedata r:id="rId10" o:title=""/>
          </v:shape>
          <o:OLEObject Type="Embed" ProgID="Equation.3" ShapeID="_x0000_i1027" DrawAspect="Content" ObjectID="_1271809585" r:id="rId11"/>
        </w:object>
      </w:r>
      <w:r w:rsidRPr="009624A3">
        <w:rPr>
          <w:rFonts w:ascii="Arial" w:hAnsi="Arial" w:cs="Arial"/>
          <w:b w:val="0"/>
          <w:szCs w:val="24"/>
        </w:rPr>
        <w:t>= es el monto del recaudo en el año 2006</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2"/>
          <w:szCs w:val="24"/>
        </w:rPr>
        <w:object w:dxaOrig="420" w:dyaOrig="360">
          <v:shape id="_x0000_i1028" type="#_x0000_t75" style="width:20.25pt;height:18pt" o:ole="" fillcolor="window">
            <v:imagedata r:id="rId12" o:title=""/>
          </v:shape>
          <o:OLEObject Type="Embed" ProgID="Equation.3" ShapeID="_x0000_i1028" DrawAspect="Content" ObjectID="_1271809586" r:id="rId13"/>
        </w:object>
      </w:r>
      <w:r w:rsidRPr="009624A3">
        <w:rPr>
          <w:rFonts w:ascii="Arial" w:hAnsi="Arial" w:cs="Arial"/>
          <w:b w:val="0"/>
          <w:szCs w:val="24"/>
        </w:rPr>
        <w:t>= es el monto del recaudo del año 2005</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T = impuesto o recaudo</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4"/>
          <w:szCs w:val="24"/>
        </w:rPr>
        <w:object w:dxaOrig="220" w:dyaOrig="260">
          <v:shape id="_x0000_i1029" type="#_x0000_t75" style="width:11.25pt;height:12.75pt" o:ole="" fillcolor="window">
            <v:imagedata r:id="rId6" o:title=""/>
          </v:shape>
          <o:OLEObject Type="Embed" ProgID="Equation.3" ShapeID="_x0000_i1029" DrawAspect="Content" ObjectID="_1271809587" r:id="rId14"/>
        </w:object>
      </w:r>
      <w:r w:rsidRPr="009624A3">
        <w:rPr>
          <w:rFonts w:ascii="Arial" w:hAnsi="Arial" w:cs="Arial"/>
          <w:b w:val="0"/>
          <w:szCs w:val="24"/>
        </w:rPr>
        <w:t xml:space="preserve">mgT = </w:t>
      </w:r>
      <w:r w:rsidRPr="009624A3">
        <w:rPr>
          <w:rFonts w:ascii="Arial" w:hAnsi="Arial" w:cs="Arial"/>
          <w:b w:val="0"/>
          <w:position w:val="-34"/>
          <w:szCs w:val="24"/>
        </w:rPr>
        <w:object w:dxaOrig="1219" w:dyaOrig="800">
          <v:shape id="_x0000_i1030" type="#_x0000_t75" style="width:60.75pt;height:40.5pt" o:ole="" fillcolor="window">
            <v:imagedata r:id="rId15" o:title=""/>
          </v:shape>
          <o:OLEObject Type="Embed" ProgID="Equation.3" ShapeID="_x0000_i1030" DrawAspect="Content" ObjectID="_1271809588" r:id="rId16"/>
        </w:object>
      </w:r>
      <w:r w:rsidRPr="009624A3">
        <w:rPr>
          <w:rFonts w:ascii="Arial" w:hAnsi="Arial" w:cs="Arial"/>
          <w:b w:val="0"/>
          <w:szCs w:val="24"/>
        </w:rPr>
        <w:t>*100</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4"/>
          <w:szCs w:val="24"/>
        </w:rPr>
        <w:object w:dxaOrig="220" w:dyaOrig="260">
          <v:shape id="_x0000_i1031" type="#_x0000_t75" style="width:11.25pt;height:12.75pt" o:ole="" fillcolor="window">
            <v:imagedata r:id="rId6" o:title=""/>
          </v:shape>
          <o:OLEObject Type="Embed" ProgID="Equation.3" ShapeID="_x0000_i1031" DrawAspect="Content" ObjectID="_1271809589" r:id="rId17"/>
        </w:object>
      </w:r>
      <w:r w:rsidRPr="009624A3">
        <w:rPr>
          <w:rFonts w:ascii="Arial" w:hAnsi="Arial" w:cs="Arial"/>
          <w:b w:val="0"/>
          <w:szCs w:val="24"/>
        </w:rPr>
        <w:t xml:space="preserve">mgT = </w:t>
      </w:r>
      <w:r w:rsidRPr="009624A3">
        <w:rPr>
          <w:rFonts w:ascii="Arial" w:hAnsi="Arial" w:cs="Arial"/>
          <w:b w:val="0"/>
          <w:position w:val="-30"/>
          <w:szCs w:val="24"/>
        </w:rPr>
        <w:object w:dxaOrig="1900" w:dyaOrig="720">
          <v:shape id="_x0000_i1032" type="#_x0000_t75" style="width:95.25pt;height:36.75pt" o:ole="" fillcolor="window">
            <v:imagedata r:id="rId18" o:title=""/>
          </v:shape>
          <o:OLEObject Type="Embed" ProgID="Equation.3" ShapeID="_x0000_i1032" DrawAspect="Content" ObjectID="_1271809590" r:id="rId19"/>
        </w:object>
      </w:r>
      <w:r w:rsidRPr="009624A3">
        <w:rPr>
          <w:rFonts w:ascii="Arial" w:hAnsi="Arial" w:cs="Arial"/>
          <w:b w:val="0"/>
          <w:szCs w:val="24"/>
        </w:rPr>
        <w:t>*100</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4"/>
          <w:szCs w:val="24"/>
        </w:rPr>
        <w:object w:dxaOrig="220" w:dyaOrig="260">
          <v:shape id="_x0000_i1033" type="#_x0000_t75" style="width:11.25pt;height:12.75pt" o:ole="" fillcolor="window">
            <v:imagedata r:id="rId6" o:title=""/>
          </v:shape>
          <o:OLEObject Type="Embed" ProgID="Equation.3" ShapeID="_x0000_i1033" DrawAspect="Content" ObjectID="_1271809591" r:id="rId20"/>
        </w:object>
      </w:r>
      <w:r w:rsidRPr="009624A3">
        <w:rPr>
          <w:rFonts w:ascii="Arial" w:hAnsi="Arial" w:cs="Arial"/>
          <w:b w:val="0"/>
          <w:szCs w:val="24"/>
        </w:rPr>
        <w:t>mgT =  -19%</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Fórmula utilizada en el cálculo de la tasa real promedio del impuesto predial:</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P</w:t>
      </w:r>
      <w:r w:rsidRPr="009624A3">
        <w:rPr>
          <w:rFonts w:ascii="Arial" w:hAnsi="Arial" w:cs="Arial"/>
          <w:b w:val="0"/>
          <w:szCs w:val="24"/>
          <w:vertAlign w:val="subscript"/>
        </w:rPr>
        <w:t>T</w:t>
      </w:r>
      <w:r w:rsidRPr="009624A3">
        <w:rPr>
          <w:rFonts w:ascii="Arial" w:hAnsi="Arial" w:cs="Arial"/>
          <w:b w:val="0"/>
          <w:szCs w:val="24"/>
        </w:rPr>
        <w:t xml:space="preserve"> : es el monto del impuesto predial en el 2007</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P</w:t>
      </w:r>
      <w:r w:rsidRPr="009624A3">
        <w:rPr>
          <w:rFonts w:ascii="Arial" w:hAnsi="Arial" w:cs="Arial"/>
          <w:b w:val="0"/>
          <w:szCs w:val="24"/>
          <w:vertAlign w:val="subscript"/>
        </w:rPr>
        <w:t>1</w:t>
      </w:r>
      <w:r w:rsidRPr="009624A3">
        <w:rPr>
          <w:rFonts w:ascii="Arial" w:hAnsi="Arial" w:cs="Arial"/>
          <w:b w:val="0"/>
          <w:szCs w:val="24"/>
        </w:rPr>
        <w:t xml:space="preserve"> : es el monto del impuesto predial en el 2005</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T-1: años del período en estudio 4-1</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34"/>
          <w:szCs w:val="24"/>
        </w:rPr>
        <w:object w:dxaOrig="2180" w:dyaOrig="800">
          <v:shape id="_x0000_i1034" type="#_x0000_t75" style="width:109.5pt;height:40.5pt" o:ole="" fillcolor="window">
            <v:imagedata r:id="rId21" o:title=""/>
          </v:shape>
          <o:OLEObject Type="Embed" ProgID="Equation.3" ShapeID="_x0000_i1034" DrawAspect="Content" ObjectID="_1271809592" r:id="rId22"/>
        </w:objec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32"/>
          <w:szCs w:val="24"/>
        </w:rPr>
        <w:object w:dxaOrig="3000" w:dyaOrig="760">
          <v:shape id="_x0000_i1035" type="#_x0000_t75" style="width:149.25pt;height:38.25pt" o:ole="" fillcolor="window">
            <v:imagedata r:id="rId23" o:title=""/>
          </v:shape>
          <o:OLEObject Type="Embed" ProgID="Equation.3" ShapeID="_x0000_i1035" DrawAspect="Content" ObjectID="_1271809593" r:id="rId24"/>
        </w:objec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napToGrid w:val="0"/>
          <w:color w:val="000000"/>
          <w:szCs w:val="24"/>
          <w:lang w:val="es-ES"/>
        </w:rPr>
      </w:pPr>
      <w:r w:rsidRPr="009624A3">
        <w:rPr>
          <w:rFonts w:ascii="Arial" w:hAnsi="Arial" w:cs="Arial"/>
          <w:b w:val="0"/>
          <w:snapToGrid w:val="0"/>
          <w:color w:val="000000"/>
          <w:position w:val="-14"/>
          <w:szCs w:val="24"/>
          <w:lang w:val="es-ES"/>
        </w:rPr>
        <w:object w:dxaOrig="279" w:dyaOrig="380">
          <v:shape id="_x0000_i1036" type="#_x0000_t75" style="width:14.25pt;height:18.75pt" o:ole="" fillcolor="window">
            <v:imagedata r:id="rId25" o:title=""/>
          </v:shape>
          <o:OLEObject Type="Embed" ProgID="Equation.3" ShapeID="_x0000_i1036" DrawAspect="Content" ObjectID="_1271809594" r:id="rId26"/>
        </w:object>
      </w:r>
      <w:r w:rsidRPr="009624A3">
        <w:rPr>
          <w:rFonts w:ascii="Arial" w:hAnsi="Arial" w:cs="Arial"/>
          <w:b w:val="0"/>
          <w:snapToGrid w:val="0"/>
          <w:color w:val="000000"/>
          <w:szCs w:val="24"/>
          <w:lang w:val="es-ES"/>
        </w:rPr>
        <w:t xml:space="preserve"> = 2%</w:t>
      </w:r>
    </w:p>
    <w:p w:rsidR="00B51D37" w:rsidRPr="009624A3" w:rsidRDefault="00B51D37" w:rsidP="009624A3">
      <w:pPr>
        <w:pStyle w:val="Textoindependiente2"/>
        <w:spacing w:line="360" w:lineRule="auto"/>
        <w:jc w:val="both"/>
        <w:rPr>
          <w:rFonts w:ascii="Arial" w:hAnsi="Arial" w:cs="Arial"/>
        </w:rPr>
      </w:pPr>
    </w:p>
    <w:p w:rsidR="00B51D37" w:rsidRPr="009624A3" w:rsidRDefault="00B51D37" w:rsidP="009624A3">
      <w:pPr>
        <w:pStyle w:val="Textoindependiente2"/>
        <w:spacing w:line="360" w:lineRule="auto"/>
        <w:jc w:val="both"/>
        <w:rPr>
          <w:rFonts w:ascii="Arial" w:hAnsi="Arial" w:cs="Arial"/>
        </w:rPr>
      </w:pPr>
      <w:r w:rsidRPr="009624A3">
        <w:rPr>
          <w:rFonts w:ascii="Arial" w:hAnsi="Arial" w:cs="Arial"/>
          <w:noProof/>
          <w:lang w:val="es-CO" w:eastAsia="es-CO"/>
        </w:rPr>
        <w:lastRenderedPageBreak/>
        <w:drawing>
          <wp:anchor distT="0" distB="0" distL="114300" distR="114300" simplePos="0" relativeHeight="251660288" behindDoc="0" locked="0" layoutInCell="0" allowOverlap="1">
            <wp:simplePos x="0" y="0"/>
            <wp:positionH relativeFrom="column">
              <wp:posOffset>-6350</wp:posOffset>
            </wp:positionH>
            <wp:positionV relativeFrom="paragraph">
              <wp:posOffset>0</wp:posOffset>
            </wp:positionV>
            <wp:extent cx="3261360" cy="2553970"/>
            <wp:effectExtent l="0" t="0" r="0" b="0"/>
            <wp:wrapTopAndBottom/>
            <wp:docPr id="2" name="Objeto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sidRPr="009624A3">
        <w:rPr>
          <w:rFonts w:ascii="Arial" w:hAnsi="Arial" w:cs="Arial"/>
        </w:rPr>
        <w:t>Gráfica Nº 1</w:t>
      </w:r>
    </w:p>
    <w:p w:rsidR="00B51D37" w:rsidRPr="009624A3" w:rsidRDefault="00B51D37" w:rsidP="009624A3">
      <w:pPr>
        <w:pStyle w:val="Textoindependiente2"/>
        <w:spacing w:line="360" w:lineRule="auto"/>
        <w:jc w:val="both"/>
        <w:rPr>
          <w:rFonts w:ascii="Arial" w:hAnsi="Arial" w:cs="Arial"/>
        </w:rPr>
      </w:pPr>
    </w:p>
    <w:p w:rsidR="00B51D37" w:rsidRPr="009624A3" w:rsidRDefault="00B51D37" w:rsidP="009624A3">
      <w:pPr>
        <w:pStyle w:val="Textoindependiente2"/>
        <w:spacing w:line="360" w:lineRule="auto"/>
        <w:jc w:val="both"/>
        <w:rPr>
          <w:rFonts w:ascii="Arial" w:hAnsi="Arial" w:cs="Arial"/>
        </w:rPr>
      </w:pPr>
      <w:r w:rsidRPr="009624A3">
        <w:rPr>
          <w:rFonts w:ascii="Arial" w:hAnsi="Arial" w:cs="Arial"/>
        </w:rPr>
        <w:t xml:space="preserve">El impuesto de industria y comercio participo con el 33 % en el total de ingresos tributarios, presentando crecimiento pasando del 7% en el 2005 al 49% en el 2007, lo que indica que la administración local ha hecho esfuerzos por mejorar la recaudación por este concepto. </w:t>
      </w:r>
    </w:p>
    <w:p w:rsidR="00B51D37" w:rsidRPr="009624A3" w:rsidRDefault="00B51D37" w:rsidP="009624A3">
      <w:pPr>
        <w:pStyle w:val="Textoindependiente2"/>
        <w:spacing w:line="360" w:lineRule="auto"/>
        <w:jc w:val="both"/>
        <w:rPr>
          <w:rFonts w:ascii="Arial" w:hAnsi="Arial" w:cs="Arial"/>
        </w:rPr>
      </w:pPr>
    </w:p>
    <w:p w:rsidR="00B51D37" w:rsidRPr="009624A3" w:rsidRDefault="00B51D37" w:rsidP="009624A3">
      <w:pPr>
        <w:pStyle w:val="Textoindependiente2"/>
        <w:spacing w:line="360" w:lineRule="auto"/>
        <w:jc w:val="both"/>
        <w:rPr>
          <w:rFonts w:ascii="Arial" w:hAnsi="Arial" w:cs="Arial"/>
        </w:rPr>
      </w:pPr>
      <w:r w:rsidRPr="009624A3">
        <w:rPr>
          <w:rFonts w:ascii="Arial" w:hAnsi="Arial" w:cs="Arial"/>
        </w:rPr>
        <w:t>Los demás impuestos consolidados, aunque no logran una participación importante dentro de los ingresos corrientes del municipio, mostraron crecimientos reales significativos en el 2005, situación que podría evidenciar que la administración municipal puede adelantar algunos mecanismos con miras a incrementar  recaudos de estos impuestos.</w:t>
      </w:r>
    </w:p>
    <w:p w:rsidR="00B51D37" w:rsidRPr="009624A3" w:rsidRDefault="00B51D37" w:rsidP="009624A3">
      <w:pPr>
        <w:pStyle w:val="Textoindependiente2"/>
        <w:spacing w:line="360" w:lineRule="auto"/>
        <w:jc w:val="both"/>
        <w:rPr>
          <w:rFonts w:ascii="Arial" w:hAnsi="Arial" w:cs="Arial"/>
        </w:rPr>
      </w:pPr>
    </w:p>
    <w:p w:rsidR="00B51D37" w:rsidRPr="009624A3" w:rsidRDefault="00B51D37" w:rsidP="009624A3">
      <w:pPr>
        <w:pStyle w:val="Textoindependiente2"/>
        <w:spacing w:line="360" w:lineRule="auto"/>
        <w:jc w:val="both"/>
        <w:rPr>
          <w:rFonts w:ascii="Arial" w:hAnsi="Arial" w:cs="Arial"/>
        </w:rPr>
      </w:pPr>
      <w:r w:rsidRPr="009624A3">
        <w:rPr>
          <w:rFonts w:ascii="Arial" w:hAnsi="Arial" w:cs="Arial"/>
        </w:rPr>
        <w:t xml:space="preserve">En cuanto a los ingresos no tributarios los de mayor importancia fueron tasas y algunas multas, sin embargo tuvo una tendencia inestable en términos reales durante el período de estudio, razón por la cual el ente territorial debería implementar políticas que le permitan  incrementar el recaudo por este concepto. </w:t>
      </w:r>
    </w:p>
    <w:p w:rsidR="00B51D37" w:rsidRPr="009624A3" w:rsidRDefault="00B51D37" w:rsidP="009624A3">
      <w:pPr>
        <w:spacing w:line="360" w:lineRule="auto"/>
        <w:jc w:val="both"/>
        <w:rPr>
          <w:rFonts w:ascii="Arial" w:hAnsi="Arial" w:cs="Arial"/>
          <w:sz w:val="24"/>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9624A3" w:rsidP="009624A3">
      <w:pPr>
        <w:pStyle w:val="Textoindependiente"/>
        <w:spacing w:line="360" w:lineRule="auto"/>
        <w:rPr>
          <w:rFonts w:ascii="Arial" w:hAnsi="Arial" w:cs="Arial"/>
          <w:szCs w:val="24"/>
        </w:rPr>
      </w:pPr>
      <w:r w:rsidRPr="009624A3">
        <w:rPr>
          <w:rFonts w:ascii="Arial" w:hAnsi="Arial" w:cs="Arial"/>
          <w:szCs w:val="24"/>
        </w:rPr>
        <w:t xml:space="preserve">INGRESOS NO TRIBUTARIOS </w:t>
      </w:r>
    </w:p>
    <w:p w:rsidR="00B51D37" w:rsidRPr="009624A3" w:rsidRDefault="00B51D37" w:rsidP="009624A3">
      <w:pPr>
        <w:pStyle w:val="Textoindependiente"/>
        <w:spacing w:line="360" w:lineRule="auto"/>
        <w:rPr>
          <w:rFonts w:ascii="Arial" w:hAnsi="Arial" w:cs="Arial"/>
          <w:b w:val="0"/>
          <w:szCs w:val="24"/>
        </w:rPr>
      </w:pPr>
    </w:p>
    <w:p w:rsidR="00A36AD6" w:rsidRDefault="00B51D37" w:rsidP="009624A3">
      <w:pPr>
        <w:pStyle w:val="Textoindependiente"/>
        <w:spacing w:line="360" w:lineRule="auto"/>
        <w:rPr>
          <w:rFonts w:ascii="Arial" w:hAnsi="Arial" w:cs="Arial"/>
          <w:b w:val="0"/>
          <w:szCs w:val="24"/>
        </w:rPr>
      </w:pPr>
      <w:r w:rsidRPr="009624A3">
        <w:rPr>
          <w:rFonts w:ascii="Arial" w:hAnsi="Arial" w:cs="Arial"/>
          <w:noProof/>
          <w:szCs w:val="24"/>
          <w:lang w:val="es-CO" w:eastAsia="es-CO"/>
        </w:rPr>
        <w:drawing>
          <wp:anchor distT="0" distB="762" distL="114300" distR="114300" simplePos="0" relativeHeight="251661312" behindDoc="0" locked="0" layoutInCell="0" allowOverlap="1">
            <wp:simplePos x="0" y="0"/>
            <wp:positionH relativeFrom="column">
              <wp:posOffset>10795</wp:posOffset>
            </wp:positionH>
            <wp:positionV relativeFrom="paragraph">
              <wp:posOffset>1953260</wp:posOffset>
            </wp:positionV>
            <wp:extent cx="3364865" cy="2456815"/>
            <wp:effectExtent l="0" t="0" r="0" b="0"/>
            <wp:wrapTopAndBottom/>
            <wp:docPr id="3" name="Objeto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sidRPr="009624A3">
        <w:rPr>
          <w:rFonts w:ascii="Arial" w:hAnsi="Arial" w:cs="Arial"/>
          <w:b w:val="0"/>
          <w:szCs w:val="24"/>
        </w:rPr>
        <w:t xml:space="preserve">Entre el 2005 y  2006 la variación  marginal de recaudo real fue bastante significativa el 208%, es decir, que por cada 1000 pesos que se recogieron en el 2005, se recaudaron en el año siguiente 208000 pesos adicionales, al final comparando los últimos dos años de la vigencia administrativa se presento un decrecimiento del 16%, a su vez la  tasa promedio del recaudo fue de 37% lo que nos indica que el municipio debe hacer esfuerzos para mejorar este indicador y por ende su capacidad de poder adquisitivo. Por otro lado la participación de los </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ingresos no tributarios dentro de los ingresos corrientes para el 2005 fue del 52%, en el 2006 el 37% y al final del período baja considerablemente está participación al 34%, donde se observo una participación continua dentro de los ingresos corrientes de este tributo.</w:t>
      </w:r>
    </w:p>
    <w:p w:rsidR="00B51D37" w:rsidRPr="00A36AD6" w:rsidRDefault="00B51D37" w:rsidP="009624A3">
      <w:pPr>
        <w:pStyle w:val="Textoindependiente"/>
        <w:spacing w:line="360" w:lineRule="auto"/>
        <w:rPr>
          <w:rFonts w:ascii="Arial" w:hAnsi="Arial" w:cs="Arial"/>
          <w:szCs w:val="24"/>
        </w:rPr>
      </w:pPr>
    </w:p>
    <w:p w:rsidR="00B51D37" w:rsidRPr="00A36AD6" w:rsidRDefault="00A36AD6" w:rsidP="009624A3">
      <w:pPr>
        <w:pStyle w:val="Textoindependiente"/>
        <w:spacing w:line="360" w:lineRule="auto"/>
        <w:rPr>
          <w:rFonts w:ascii="Arial" w:hAnsi="Arial" w:cs="Arial"/>
          <w:szCs w:val="24"/>
        </w:rPr>
      </w:pPr>
      <w:r w:rsidRPr="00A36AD6">
        <w:rPr>
          <w:rFonts w:ascii="Arial" w:hAnsi="Arial" w:cs="Arial"/>
          <w:szCs w:val="24"/>
        </w:rPr>
        <w:t>SISTEMA GENERAL DE PARTICIPACIONES</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En el caso del municipio de Tunungua hacen referencia a los recursos que no son de forzosa destinación y que hacen parte del rubro de Propósito General, recursos que la nación transfiere por mandato constitucional al municipio (Ley 715 de 2001), las transferencias departamentales y otras transferencias corrientes.</w:t>
      </w:r>
    </w:p>
    <w:p w:rsidR="00B51D37" w:rsidRPr="009624A3" w:rsidRDefault="00B51D37" w:rsidP="009624A3">
      <w:pPr>
        <w:pStyle w:val="Textoindependiente"/>
        <w:spacing w:line="360" w:lineRule="auto"/>
        <w:rPr>
          <w:rFonts w:ascii="Arial" w:hAnsi="Arial" w:cs="Arial"/>
          <w:b w:val="0"/>
          <w:szCs w:val="24"/>
        </w:rPr>
      </w:pPr>
    </w:p>
    <w:p w:rsidR="00B51D37" w:rsidRPr="00A36AD6" w:rsidRDefault="00A36AD6" w:rsidP="009624A3">
      <w:pPr>
        <w:pStyle w:val="Textoindependiente"/>
        <w:spacing w:line="360" w:lineRule="auto"/>
        <w:rPr>
          <w:rFonts w:ascii="Arial" w:hAnsi="Arial" w:cs="Arial"/>
          <w:szCs w:val="24"/>
        </w:rPr>
      </w:pPr>
      <w:r w:rsidRPr="00A36AD6">
        <w:rPr>
          <w:rFonts w:ascii="Arial" w:hAnsi="Arial" w:cs="Arial"/>
          <w:szCs w:val="24"/>
        </w:rPr>
        <w:t>TRANSFERENCIAS TOTALES</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 xml:space="preserve">Comparando el 2005 y 2006   las transferencias decrecieron un 19%, es decir, que del 2005 por cada 1000 pesos que giró la nación al municipio, en el 2006  se redujo dicho monto en 190 pesos, entre el 2006 y el 2007 se observó un incremento marginal del 54%,  lo que se reflejo en inversión social. En general para este rubro la tasa de crecimiento real promedio  durante la vigencia fue del 8%. </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spacing w:line="360" w:lineRule="auto"/>
        <w:jc w:val="both"/>
        <w:rPr>
          <w:rFonts w:ascii="Arial" w:hAnsi="Arial" w:cs="Arial"/>
          <w:sz w:val="24"/>
          <w:szCs w:val="24"/>
        </w:rPr>
      </w:pPr>
      <w:r w:rsidRPr="009624A3">
        <w:rPr>
          <w:rFonts w:ascii="Arial" w:hAnsi="Arial" w:cs="Arial"/>
          <w:sz w:val="24"/>
          <w:szCs w:val="24"/>
        </w:rPr>
        <w:t>Para el período analizado los recursos de transferencias totales representaron en promedio el 87% del total de los ingresos corrientes. Los recursos del SGP  para libre inversión  en promedio para el tiempo del estudio estuvieron alrededor  de 84% dentro de los ingresos corrientes .Por su parte los recursos del SGP  de inversión forzosa se constituyeron en el principal rubro de los ingresos de capital  (90% promedio), lo que muestra que el municipio tiene una gran dependencia de estos recursos, para sostener su inversión social. Si bien es cierto que el  municipio, depende para la financiación de sus gastos, tanto corrientes como de inversión básicamente de las transferencias de la Nación, también es cierto que este grado de dependencia sería inferior si en el municipio se hicieran mayores esfuerzos fiscales para la consecución de recursos propios, y más gestión para la cofinanciación.</w:t>
      </w:r>
    </w:p>
    <w:p w:rsidR="00B51D37" w:rsidRPr="009624A3" w:rsidRDefault="00B51D37" w:rsidP="009624A3">
      <w:pPr>
        <w:spacing w:line="360" w:lineRule="auto"/>
        <w:jc w:val="both"/>
        <w:rPr>
          <w:rFonts w:ascii="Arial" w:hAnsi="Arial" w:cs="Arial"/>
          <w:sz w:val="24"/>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noProof/>
          <w:szCs w:val="24"/>
          <w:lang w:val="es-CO" w:eastAsia="es-CO"/>
        </w:rPr>
        <w:lastRenderedPageBreak/>
        <w:drawing>
          <wp:anchor distT="0" distB="0" distL="114300" distR="114300" simplePos="0" relativeHeight="251663360" behindDoc="0" locked="0" layoutInCell="0" allowOverlap="1">
            <wp:simplePos x="0" y="0"/>
            <wp:positionH relativeFrom="column">
              <wp:posOffset>-6350</wp:posOffset>
            </wp:positionH>
            <wp:positionV relativeFrom="paragraph">
              <wp:posOffset>0</wp:posOffset>
            </wp:positionV>
            <wp:extent cx="3639185" cy="2383790"/>
            <wp:effectExtent l="0" t="0" r="0" b="0"/>
            <wp:wrapTopAndBottom/>
            <wp:docPr id="5" name="Objeto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r w:rsidRPr="009624A3">
        <w:rPr>
          <w:rFonts w:ascii="Arial" w:hAnsi="Arial" w:cs="Arial"/>
          <w:noProof/>
          <w:szCs w:val="24"/>
          <w:lang w:val="es-CO" w:eastAsia="es-CO"/>
        </w:rPr>
        <w:drawing>
          <wp:anchor distT="0" distB="0" distL="114300" distR="114300" simplePos="0" relativeHeight="251662336" behindDoc="0" locked="0" layoutInCell="0" allowOverlap="1">
            <wp:simplePos x="0" y="0"/>
            <wp:positionH relativeFrom="column">
              <wp:posOffset>-6350</wp:posOffset>
            </wp:positionH>
            <wp:positionV relativeFrom="paragraph">
              <wp:posOffset>0</wp:posOffset>
            </wp:positionV>
            <wp:extent cx="3639185" cy="2401570"/>
            <wp:effectExtent l="0" t="0" r="0" b="0"/>
            <wp:wrapTopAndBottom/>
            <wp:docPr id="4" name="Objeto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sidRPr="009624A3">
        <w:rPr>
          <w:rFonts w:ascii="Arial" w:hAnsi="Arial" w:cs="Arial"/>
          <w:b w:val="0"/>
          <w:szCs w:val="24"/>
        </w:rPr>
        <w:t>Gráfica Nº3</w:t>
      </w:r>
    </w:p>
    <w:p w:rsidR="00B51D37" w:rsidRPr="00A36AD6" w:rsidRDefault="00B51D37" w:rsidP="009624A3">
      <w:pPr>
        <w:pStyle w:val="Textoindependiente"/>
        <w:spacing w:line="360" w:lineRule="auto"/>
        <w:rPr>
          <w:rFonts w:ascii="Arial" w:hAnsi="Arial" w:cs="Arial"/>
          <w:b w:val="0"/>
          <w:szCs w:val="24"/>
        </w:rPr>
      </w:pPr>
    </w:p>
    <w:p w:rsidR="00B51D37" w:rsidRPr="00A36AD6" w:rsidRDefault="00A36AD6" w:rsidP="009624A3">
      <w:pPr>
        <w:pStyle w:val="Textoindependiente"/>
        <w:spacing w:line="360" w:lineRule="auto"/>
        <w:rPr>
          <w:rFonts w:ascii="Arial" w:hAnsi="Arial" w:cs="Arial"/>
          <w:b w:val="0"/>
          <w:szCs w:val="24"/>
        </w:rPr>
      </w:pPr>
      <w:r w:rsidRPr="00A36AD6">
        <w:rPr>
          <w:rFonts w:ascii="Arial" w:hAnsi="Arial" w:cs="Arial"/>
          <w:b w:val="0"/>
          <w:szCs w:val="24"/>
        </w:rPr>
        <w:t xml:space="preserve">GASTOS CORRIENTES Y GASTOS DE FUNCIONAMIENTO </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En promedio durante el período en estudio los recursos que destina el ente territorial para financiar pagos de funcionamiento son del 104%, o capacidad de  pago de la administración con recursos de los ingresos corrientes de libre inversión, como le demuestra el dato calculado se están destinando el total de recursos de los ingresos corrientes de libre inversión para financiar pagos de funcionamiento, razón por la cual se le recomienda a la administración tomar medidas que permitan reducir el porcentaje de gasto.</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Participación de los pagos de funcionamiento en los ingresos de libre destinación:</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560" w:dyaOrig="320">
          <v:shape id="_x0000_i1037" type="#_x0000_t75" style="width:27.75pt;height:15.75pt" o:ole="" fillcolor="window">
            <v:imagedata r:id="rId31" o:title=""/>
          </v:shape>
          <o:OLEObject Type="Embed" ProgID="Equation.3" ShapeID="_x0000_i1037" DrawAspect="Content" ObjectID="_1271809595" r:id="rId32"/>
        </w:object>
      </w:r>
      <w:r w:rsidRPr="009624A3">
        <w:rPr>
          <w:rFonts w:ascii="Arial" w:hAnsi="Arial" w:cs="Arial"/>
          <w:b w:val="0"/>
          <w:position w:val="-28"/>
          <w:szCs w:val="24"/>
        </w:rPr>
        <w:object w:dxaOrig="3280" w:dyaOrig="660">
          <v:shape id="_x0000_i1038" type="#_x0000_t75" style="width:163.5pt;height:33pt" o:ole="" fillcolor="window">
            <v:imagedata r:id="rId33" o:title=""/>
          </v:shape>
          <o:OLEObject Type="Embed" ProgID="Equation.3" ShapeID="_x0000_i1038" DrawAspect="Content" ObjectID="_1271809596" r:id="rId34"/>
        </w:object>
      </w:r>
      <w:r w:rsidRPr="009624A3">
        <w:rPr>
          <w:rFonts w:ascii="Arial" w:hAnsi="Arial" w:cs="Arial"/>
          <w:b w:val="0"/>
          <w:szCs w:val="24"/>
        </w:rPr>
        <w:t>*100%</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560" w:dyaOrig="320">
          <v:shape id="_x0000_i1039" type="#_x0000_t75" style="width:27.75pt;height:15.75pt" o:ole="" fillcolor="window">
            <v:imagedata r:id="rId31" o:title=""/>
          </v:shape>
          <o:OLEObject Type="Embed" ProgID="Equation.3" ShapeID="_x0000_i1039" DrawAspect="Content" ObjectID="_1271809597" r:id="rId35"/>
        </w:object>
      </w:r>
      <w:r w:rsidRPr="009624A3">
        <w:rPr>
          <w:rFonts w:ascii="Arial" w:hAnsi="Arial" w:cs="Arial"/>
          <w:b w:val="0"/>
          <w:position w:val="-10"/>
          <w:szCs w:val="24"/>
        </w:rPr>
        <w:object w:dxaOrig="180" w:dyaOrig="340">
          <v:shape id="_x0000_i1040" type="#_x0000_t75" style="width:9pt;height:16.5pt" o:ole="" fillcolor="window">
            <v:imagedata r:id="rId10" o:title=""/>
          </v:shape>
          <o:OLEObject Type="Embed" ProgID="Equation.3" ShapeID="_x0000_i1040" DrawAspect="Content" ObjectID="_1271809598" r:id="rId36"/>
        </w:object>
      </w:r>
      <w:r w:rsidRPr="009624A3">
        <w:rPr>
          <w:rFonts w:ascii="Arial" w:hAnsi="Arial" w:cs="Arial"/>
          <w:b w:val="0"/>
          <w:position w:val="-66"/>
          <w:szCs w:val="24"/>
        </w:rPr>
        <w:object w:dxaOrig="1460" w:dyaOrig="1040">
          <v:shape id="_x0000_i1041" type="#_x0000_t75" style="width:72.75pt;height:52.5pt" o:ole="" fillcolor="window">
            <v:imagedata r:id="rId37" o:title=""/>
          </v:shape>
          <o:OLEObject Type="Embed" ProgID="Equation.3" ShapeID="_x0000_i1041" DrawAspect="Content" ObjectID="_1271809599" r:id="rId38"/>
        </w:object>
      </w:r>
      <w:r w:rsidRPr="009624A3">
        <w:rPr>
          <w:rFonts w:ascii="Arial" w:hAnsi="Arial" w:cs="Arial"/>
          <w:b w:val="0"/>
          <w:szCs w:val="24"/>
        </w:rPr>
        <w:t>*100</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560" w:dyaOrig="320">
          <v:shape id="_x0000_i1042" type="#_x0000_t75" style="width:27.75pt;height:15.75pt" o:ole="" fillcolor="window">
            <v:imagedata r:id="rId39" o:title=""/>
          </v:shape>
          <o:OLEObject Type="Embed" ProgID="Equation.3" ShapeID="_x0000_i1042" DrawAspect="Content" ObjectID="_1271809600" r:id="rId40"/>
        </w:object>
      </w:r>
      <w:r w:rsidRPr="009624A3">
        <w:rPr>
          <w:rFonts w:ascii="Arial" w:hAnsi="Arial" w:cs="Arial"/>
          <w:b w:val="0"/>
          <w:szCs w:val="24"/>
        </w:rPr>
        <w:t xml:space="preserve"> 104%</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Durante el período de estudio los gastos corrientes se financiaron  principalmente con los recursos de las transferencias de libre destinación (100%) (hoy, recursos del SGP de propósito general para libre disposición) y en segundo lugar con sus recursos propios  (24%).</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 xml:space="preserve"> </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 xml:space="preserve">Al analizar la conformación de los gastos de funcionamiento, los servicios personales y los generales muestran un crecimiento de la tasa real promedio del  2%*, en los cuatro años observados, los servicios personales pasaron de $203.500 millones en el año </w:t>
      </w:r>
      <w:smartTag w:uri="urn:schemas-microsoft-com:office:smarttags" w:element="metricconverter">
        <w:smartTagPr>
          <w:attr w:name="ProductID" w:val="2005 a"/>
        </w:smartTagPr>
        <w:r w:rsidRPr="009624A3">
          <w:rPr>
            <w:rFonts w:ascii="Arial" w:hAnsi="Arial" w:cs="Arial"/>
            <w:b w:val="0"/>
            <w:szCs w:val="24"/>
          </w:rPr>
          <w:t>2005 a</w:t>
        </w:r>
      </w:smartTag>
      <w:r w:rsidRPr="009624A3">
        <w:rPr>
          <w:rFonts w:ascii="Arial" w:hAnsi="Arial" w:cs="Arial"/>
          <w:b w:val="0"/>
          <w:szCs w:val="24"/>
        </w:rPr>
        <w:t xml:space="preserve"> $215.323 millones en el año 2007, además tienen una participación en los gastos de funcionamiento del 44%, en cuanto a las transferencias de nómina se observó igualmente una tasa de crecimiento  real promedio del  2% y una participación en el total de los gastos de funcionamiento alrededor del 9% en promedio durante la vigencia. Fórmulas utilizadas para el cálculo de los datos anteriores.</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Para hallar crecimientos reales promedios de gastos personales (tg):</w:t>
      </w:r>
    </w:p>
    <w:p w:rsidR="00B51D37" w:rsidRPr="009624A3" w:rsidRDefault="00B51D37" w:rsidP="009624A3">
      <w:pPr>
        <w:pStyle w:val="Textoindependiente"/>
        <w:spacing w:line="360" w:lineRule="auto"/>
        <w:rPr>
          <w:rFonts w:ascii="Arial" w:hAnsi="Arial" w:cs="Arial"/>
          <w:b w:val="0"/>
          <w:szCs w:val="24"/>
          <w:vertAlign w:val="subscript"/>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*G</w:t>
      </w:r>
      <w:r w:rsidRPr="009624A3">
        <w:rPr>
          <w:rFonts w:ascii="Arial" w:hAnsi="Arial" w:cs="Arial"/>
          <w:b w:val="0"/>
          <w:szCs w:val="24"/>
          <w:vertAlign w:val="subscript"/>
        </w:rPr>
        <w:t xml:space="preserve">T : </w:t>
      </w:r>
      <w:r w:rsidRPr="009624A3">
        <w:rPr>
          <w:rFonts w:ascii="Arial" w:hAnsi="Arial" w:cs="Arial"/>
          <w:b w:val="0"/>
          <w:szCs w:val="24"/>
        </w:rPr>
        <w:t>es el monto de gastos personales en el 2007</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G</w:t>
      </w:r>
      <w:r w:rsidRPr="009624A3">
        <w:rPr>
          <w:rFonts w:ascii="Arial" w:hAnsi="Arial" w:cs="Arial"/>
          <w:b w:val="0"/>
          <w:szCs w:val="24"/>
          <w:vertAlign w:val="subscript"/>
        </w:rPr>
        <w:t xml:space="preserve">1 : </w:t>
      </w:r>
      <w:r w:rsidRPr="009624A3">
        <w:rPr>
          <w:rFonts w:ascii="Arial" w:hAnsi="Arial" w:cs="Arial"/>
          <w:b w:val="0"/>
          <w:szCs w:val="24"/>
        </w:rPr>
        <w:t>es el monto de los gastos personales en  el 2005</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T-1: 4-1</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34"/>
          <w:szCs w:val="24"/>
        </w:rPr>
        <w:object w:dxaOrig="2220" w:dyaOrig="800">
          <v:shape id="_x0000_i1043" type="#_x0000_t75" style="width:111pt;height:40.5pt" o:ole="" fillcolor="window">
            <v:imagedata r:id="rId41" o:title=""/>
          </v:shape>
          <o:OLEObject Type="Embed" ProgID="Equation.3" ShapeID="_x0000_i1043" DrawAspect="Content" ObjectID="_1271809601" r:id="rId42"/>
        </w:objec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32"/>
          <w:szCs w:val="24"/>
        </w:rPr>
        <w:object w:dxaOrig="3120" w:dyaOrig="760">
          <v:shape id="_x0000_i1044" type="#_x0000_t75" style="width:156pt;height:38.25pt" o:ole="" fillcolor="window">
            <v:imagedata r:id="rId43" o:title=""/>
          </v:shape>
          <o:OLEObject Type="Embed" ProgID="Equation.3" ShapeID="_x0000_i1044" DrawAspect="Content" ObjectID="_1271809602" r:id="rId44"/>
        </w:objec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4"/>
          <w:szCs w:val="24"/>
        </w:rPr>
        <w:object w:dxaOrig="279" w:dyaOrig="380">
          <v:shape id="_x0000_i1045" type="#_x0000_t75" style="width:14.25pt;height:18.75pt" o:ole="" fillcolor="window">
            <v:imagedata r:id="rId45" o:title=""/>
          </v:shape>
          <o:OLEObject Type="Embed" ProgID="Equation.3" ShapeID="_x0000_i1045" DrawAspect="Content" ObjectID="_1271809603" r:id="rId46"/>
        </w:object>
      </w:r>
      <w:r w:rsidRPr="009624A3">
        <w:rPr>
          <w:rFonts w:ascii="Arial" w:hAnsi="Arial" w:cs="Arial"/>
          <w:b w:val="0"/>
          <w:szCs w:val="24"/>
        </w:rPr>
        <w:t>= 2%</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noProof/>
          <w:szCs w:val="24"/>
          <w:lang w:val="es-CO" w:eastAsia="es-CO"/>
        </w:rPr>
        <w:drawing>
          <wp:anchor distT="0" distB="381" distL="114300" distR="114300" simplePos="0" relativeHeight="251664384" behindDoc="0" locked="0" layoutInCell="0" allowOverlap="1">
            <wp:simplePos x="0" y="0"/>
            <wp:positionH relativeFrom="column">
              <wp:posOffset>-6350</wp:posOffset>
            </wp:positionH>
            <wp:positionV relativeFrom="paragraph">
              <wp:posOffset>0</wp:posOffset>
            </wp:positionV>
            <wp:extent cx="3639185" cy="2828290"/>
            <wp:effectExtent l="0" t="0" r="0" b="0"/>
            <wp:wrapTopAndBottom/>
            <wp:docPr id="6" name="Objeto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anchor>
        </w:drawing>
      </w:r>
      <w:r w:rsidRPr="009624A3">
        <w:rPr>
          <w:rFonts w:ascii="Arial" w:hAnsi="Arial" w:cs="Arial"/>
          <w:b w:val="0"/>
          <w:szCs w:val="24"/>
        </w:rPr>
        <w:t>Gráfico Nº 4.</w:t>
      </w:r>
    </w:p>
    <w:p w:rsidR="00B51D37" w:rsidRPr="009624A3" w:rsidRDefault="00B51D37" w:rsidP="009624A3">
      <w:pPr>
        <w:pStyle w:val="Textoindependiente"/>
        <w:spacing w:line="360" w:lineRule="auto"/>
        <w:rPr>
          <w:rFonts w:ascii="Arial" w:hAnsi="Arial" w:cs="Arial"/>
          <w:b w:val="0"/>
          <w:szCs w:val="24"/>
        </w:rPr>
      </w:pPr>
    </w:p>
    <w:p w:rsidR="00B51D37" w:rsidRPr="00A36AD6" w:rsidRDefault="00A36AD6" w:rsidP="009624A3">
      <w:pPr>
        <w:pStyle w:val="Textoindependiente"/>
        <w:spacing w:line="360" w:lineRule="auto"/>
        <w:rPr>
          <w:rFonts w:ascii="Arial" w:hAnsi="Arial" w:cs="Arial"/>
          <w:szCs w:val="24"/>
        </w:rPr>
      </w:pPr>
      <w:r w:rsidRPr="00A36AD6">
        <w:rPr>
          <w:rFonts w:ascii="Arial" w:hAnsi="Arial" w:cs="Arial"/>
          <w:szCs w:val="24"/>
        </w:rPr>
        <w:t xml:space="preserve">iNVERSIÓN </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Para mostrar la proporción del ahorro que utilizó este municipio en pagos de inversión, es decir el grado de autofinanciamiento (apalancamiento) que tiene para cubrir pagos de inversión, utilizamos el siguiente indicador:</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180" w:dyaOrig="340">
          <v:shape id="_x0000_i1046" type="#_x0000_t75" style="width:9pt;height:16.5pt" o:ole="" fillcolor="window">
            <v:imagedata r:id="rId10" o:title=""/>
          </v:shape>
          <o:OLEObject Type="Embed" ProgID="Equation.3" ShapeID="_x0000_i1046" DrawAspect="Content" ObjectID="_1271809604" r:id="rId48"/>
        </w:objec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30"/>
          <w:szCs w:val="24"/>
        </w:rPr>
        <w:object w:dxaOrig="5160" w:dyaOrig="680">
          <v:shape id="_x0000_i1047" type="#_x0000_t75" style="width:258pt;height:33.75pt" o:ole="" fillcolor="window">
            <v:imagedata r:id="rId49" o:title=""/>
          </v:shape>
          <o:OLEObject Type="Embed" ProgID="Equation.3" ShapeID="_x0000_i1047" DrawAspect="Content" ObjectID="_1271809605" r:id="rId50"/>
        </w:object>
      </w:r>
      <w:r w:rsidRPr="009624A3">
        <w:rPr>
          <w:rFonts w:ascii="Arial" w:hAnsi="Arial" w:cs="Arial"/>
          <w:b w:val="0"/>
          <w:szCs w:val="24"/>
        </w:rPr>
        <w:t>*100</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2"/>
          <w:szCs w:val="24"/>
        </w:rPr>
        <w:object w:dxaOrig="4800" w:dyaOrig="1400">
          <v:shape id="_x0000_i1048" type="#_x0000_t75" style="width:240pt;height:70.5pt" o:ole="" fillcolor="window">
            <v:imagedata r:id="rId51" o:title=""/>
          </v:shape>
          <o:OLEObject Type="Embed" ProgID="Equation.3" ShapeID="_x0000_i1048" DrawAspect="Content" ObjectID="_1271809606" r:id="rId52"/>
        </w:object>
      </w:r>
      <w:r w:rsidRPr="009624A3">
        <w:rPr>
          <w:rFonts w:ascii="Arial" w:hAnsi="Arial" w:cs="Arial"/>
          <w:b w:val="0"/>
          <w:szCs w:val="24"/>
        </w:rPr>
        <w:t>*100  = 4%</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Durante la vigencia administrativa se utilizó en promedio el 4% del ahorro en inversión y aunque  el ente territorial tuvo un grado de autofinanciamiento bajo para cubrir sus pagos de inversión, también se observo un decrecimiento progresivo ya que en el 2004 se autofinancio inversión con  un 24% y al finalizar el período administrativo se había reducido al 4%.</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Importancia de los Recursos del Sistema General de Participaciones (SPG) en la Inversión:</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1340" w:dyaOrig="320">
          <v:shape id="_x0000_i1049" type="#_x0000_t75" style="width:67.5pt;height:15.75pt" o:ole="" fillcolor="window">
            <v:imagedata r:id="rId53" o:title=""/>
          </v:shape>
          <o:OLEObject Type="Embed" ProgID="Equation.3" ShapeID="_x0000_i1049" DrawAspect="Content" ObjectID="_1271809607" r:id="rId54"/>
        </w:object>
      </w:r>
      <w:r w:rsidRPr="009624A3">
        <w:rPr>
          <w:rFonts w:ascii="Arial" w:hAnsi="Arial" w:cs="Arial"/>
          <w:b w:val="0"/>
          <w:position w:val="-6"/>
          <w:szCs w:val="24"/>
        </w:rPr>
        <w:object w:dxaOrig="380" w:dyaOrig="279">
          <v:shape id="_x0000_i1050" type="#_x0000_t75" style="width:18.75pt;height:14.25pt" o:ole="" fillcolor="window">
            <v:imagedata r:id="rId55" o:title=""/>
          </v:shape>
          <o:OLEObject Type="Embed" ProgID="Equation.3" ShapeID="_x0000_i1050" DrawAspect="Content" ObjectID="_1271809608" r:id="rId56"/>
        </w:object>
      </w:r>
      <w:r w:rsidRPr="009624A3">
        <w:rPr>
          <w:rFonts w:ascii="Arial" w:hAnsi="Arial" w:cs="Arial"/>
          <w:b w:val="0"/>
          <w:position w:val="-6"/>
          <w:szCs w:val="24"/>
        </w:rPr>
        <w:object w:dxaOrig="520" w:dyaOrig="279">
          <v:shape id="_x0000_i1051" type="#_x0000_t75" style="width:26.25pt;height:14.25pt" o:ole="" fillcolor="window">
            <v:imagedata r:id="rId57" o:title=""/>
          </v:shape>
          <o:OLEObject Type="Embed" ProgID="Equation.3" ShapeID="_x0000_i1051" DrawAspect="Content" ObjectID="_1271809609" r:id="rId58"/>
        </w:object>
      </w:r>
      <w:r w:rsidRPr="009624A3">
        <w:rPr>
          <w:rFonts w:ascii="Arial" w:hAnsi="Arial" w:cs="Arial"/>
          <w:b w:val="0"/>
          <w:szCs w:val="24"/>
        </w:rPr>
        <w:t xml:space="preserve"> </w:t>
      </w:r>
      <w:r w:rsidRPr="009624A3">
        <w:rPr>
          <w:rFonts w:ascii="Arial" w:hAnsi="Arial" w:cs="Arial"/>
          <w:b w:val="0"/>
          <w:position w:val="-6"/>
          <w:szCs w:val="24"/>
        </w:rPr>
        <w:object w:dxaOrig="300" w:dyaOrig="220">
          <v:shape id="_x0000_i1052" type="#_x0000_t75" style="width:15pt;height:11.25pt" o:ole="" fillcolor="window">
            <v:imagedata r:id="rId59" o:title=""/>
          </v:shape>
          <o:OLEObject Type="Embed" ProgID="Equation.3" ShapeID="_x0000_i1052" DrawAspect="Content" ObjectID="_1271809610" r:id="rId60"/>
        </w:object>
      </w:r>
      <w:r w:rsidRPr="009624A3">
        <w:rPr>
          <w:rFonts w:ascii="Arial" w:hAnsi="Arial" w:cs="Arial"/>
          <w:b w:val="0"/>
          <w:position w:val="-6"/>
          <w:szCs w:val="24"/>
        </w:rPr>
        <w:object w:dxaOrig="260" w:dyaOrig="279">
          <v:shape id="_x0000_i1053" type="#_x0000_t75" style="width:12.75pt;height:14.25pt" o:ole="" fillcolor="window">
            <v:imagedata r:id="rId61" o:title=""/>
          </v:shape>
          <o:OLEObject Type="Embed" ProgID="Equation.3" ShapeID="_x0000_i1053" DrawAspect="Content" ObjectID="_1271809611" r:id="rId62"/>
        </w:object>
      </w:r>
      <w:r w:rsidRPr="009624A3">
        <w:rPr>
          <w:rFonts w:ascii="Arial" w:hAnsi="Arial" w:cs="Arial"/>
          <w:b w:val="0"/>
          <w:position w:val="-6"/>
          <w:szCs w:val="24"/>
        </w:rPr>
        <w:object w:dxaOrig="980" w:dyaOrig="279">
          <v:shape id="_x0000_i1054" type="#_x0000_t75" style="width:48.75pt;height:14.25pt" o:ole="" fillcolor="window">
            <v:imagedata r:id="rId63" o:title=""/>
          </v:shape>
          <o:OLEObject Type="Embed" ProgID="Equation.3" ShapeID="_x0000_i1054" DrawAspect="Content" ObjectID="_1271809612" r:id="rId64"/>
        </w:object>
      </w:r>
      <w:r w:rsidRPr="009624A3">
        <w:rPr>
          <w:rFonts w:ascii="Arial" w:hAnsi="Arial" w:cs="Arial"/>
          <w:b w:val="0"/>
          <w:szCs w:val="24"/>
        </w:rPr>
        <w:t xml:space="preserve"> = </w:t>
      </w:r>
      <w:r w:rsidRPr="009624A3">
        <w:rPr>
          <w:rFonts w:ascii="Arial" w:hAnsi="Arial" w:cs="Arial"/>
          <w:b w:val="0"/>
          <w:position w:val="-24"/>
          <w:szCs w:val="24"/>
        </w:rPr>
        <w:object w:dxaOrig="2799" w:dyaOrig="620">
          <v:shape id="_x0000_i1055" type="#_x0000_t75" style="width:140.25pt;height:30.75pt" o:ole="" fillcolor="window">
            <v:imagedata r:id="rId65" o:title=""/>
          </v:shape>
          <o:OLEObject Type="Embed" ProgID="Equation.3" ShapeID="_x0000_i1055" DrawAspect="Content" ObjectID="_1271809613" r:id="rId66"/>
        </w:object>
      </w:r>
      <w:r w:rsidRPr="009624A3">
        <w:rPr>
          <w:rFonts w:ascii="Arial" w:hAnsi="Arial" w:cs="Arial"/>
          <w:b w:val="0"/>
          <w:szCs w:val="24"/>
        </w:rPr>
        <w:t>*100</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 xml:space="preserve"> </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1340" w:dyaOrig="320">
          <v:shape id="_x0000_i1072" type="#_x0000_t75" style="width:67.5pt;height:15.75pt" o:ole="" fillcolor="window">
            <v:imagedata r:id="rId53" o:title=""/>
          </v:shape>
          <o:OLEObject Type="Embed" ProgID="Equation.3" ShapeID="_x0000_i1072" DrawAspect="Content" ObjectID="_1271809614" r:id="rId67"/>
        </w:object>
      </w:r>
      <w:r w:rsidRPr="009624A3">
        <w:rPr>
          <w:rFonts w:ascii="Arial" w:hAnsi="Arial" w:cs="Arial"/>
          <w:b w:val="0"/>
          <w:position w:val="-6"/>
          <w:szCs w:val="24"/>
        </w:rPr>
        <w:object w:dxaOrig="380" w:dyaOrig="279">
          <v:shape id="_x0000_i1056" type="#_x0000_t75" style="width:18.75pt;height:14.25pt" o:ole="" fillcolor="window">
            <v:imagedata r:id="rId55" o:title=""/>
          </v:shape>
          <o:OLEObject Type="Embed" ProgID="Equation.3" ShapeID="_x0000_i1056" DrawAspect="Content" ObjectID="_1271809615" r:id="rId68"/>
        </w:object>
      </w:r>
      <w:r w:rsidRPr="009624A3">
        <w:rPr>
          <w:rFonts w:ascii="Arial" w:hAnsi="Arial" w:cs="Arial"/>
          <w:b w:val="0"/>
          <w:position w:val="-6"/>
          <w:szCs w:val="24"/>
        </w:rPr>
        <w:object w:dxaOrig="520" w:dyaOrig="279">
          <v:shape id="_x0000_i1057" type="#_x0000_t75" style="width:26.25pt;height:14.25pt" o:ole="" fillcolor="window">
            <v:imagedata r:id="rId57" o:title=""/>
          </v:shape>
          <o:OLEObject Type="Embed" ProgID="Equation.3" ShapeID="_x0000_i1057" DrawAspect="Content" ObjectID="_1271809616" r:id="rId69"/>
        </w:object>
      </w:r>
      <w:r w:rsidRPr="009624A3">
        <w:rPr>
          <w:rFonts w:ascii="Arial" w:hAnsi="Arial" w:cs="Arial"/>
          <w:b w:val="0"/>
          <w:szCs w:val="24"/>
        </w:rPr>
        <w:t xml:space="preserve"> </w:t>
      </w:r>
      <w:r w:rsidRPr="009624A3">
        <w:rPr>
          <w:rFonts w:ascii="Arial" w:hAnsi="Arial" w:cs="Arial"/>
          <w:b w:val="0"/>
          <w:position w:val="-6"/>
          <w:szCs w:val="24"/>
        </w:rPr>
        <w:object w:dxaOrig="300" w:dyaOrig="220">
          <v:shape id="_x0000_i1058" type="#_x0000_t75" style="width:15pt;height:11.25pt" o:ole="" fillcolor="window">
            <v:imagedata r:id="rId59" o:title=""/>
          </v:shape>
          <o:OLEObject Type="Embed" ProgID="Equation.3" ShapeID="_x0000_i1058" DrawAspect="Content" ObjectID="_1271809617" r:id="rId70"/>
        </w:object>
      </w:r>
      <w:r w:rsidRPr="009624A3">
        <w:rPr>
          <w:rFonts w:ascii="Arial" w:hAnsi="Arial" w:cs="Arial"/>
          <w:b w:val="0"/>
          <w:position w:val="-6"/>
          <w:szCs w:val="24"/>
        </w:rPr>
        <w:object w:dxaOrig="260" w:dyaOrig="279">
          <v:shape id="_x0000_i1059" type="#_x0000_t75" style="width:12.75pt;height:14.25pt" o:ole="" fillcolor="window">
            <v:imagedata r:id="rId61" o:title=""/>
          </v:shape>
          <o:OLEObject Type="Embed" ProgID="Equation.3" ShapeID="_x0000_i1059" DrawAspect="Content" ObjectID="_1271809618" r:id="rId71"/>
        </w:object>
      </w:r>
      <w:r w:rsidRPr="009624A3">
        <w:rPr>
          <w:rFonts w:ascii="Arial" w:hAnsi="Arial" w:cs="Arial"/>
          <w:b w:val="0"/>
          <w:position w:val="-6"/>
          <w:szCs w:val="24"/>
        </w:rPr>
        <w:object w:dxaOrig="980" w:dyaOrig="279">
          <v:shape id="_x0000_i1060" type="#_x0000_t75" style="width:48.75pt;height:14.25pt" o:ole="" fillcolor="window">
            <v:imagedata r:id="rId63" o:title=""/>
          </v:shape>
          <o:OLEObject Type="Embed" ProgID="Equation.3" ShapeID="_x0000_i1060" DrawAspect="Content" ObjectID="_1271809619" r:id="rId72"/>
        </w:object>
      </w:r>
      <w:r w:rsidRPr="009624A3">
        <w:rPr>
          <w:rFonts w:ascii="Arial" w:hAnsi="Arial" w:cs="Arial"/>
          <w:b w:val="0"/>
          <w:szCs w:val="24"/>
        </w:rPr>
        <w:t xml:space="preserve"> = </w:t>
      </w:r>
      <w:r w:rsidRPr="009624A3">
        <w:rPr>
          <w:rFonts w:ascii="Arial" w:hAnsi="Arial" w:cs="Arial"/>
          <w:b w:val="0"/>
          <w:position w:val="-138"/>
          <w:szCs w:val="24"/>
        </w:rPr>
        <w:object w:dxaOrig="1500" w:dyaOrig="1760">
          <v:shape id="_x0000_i1061" type="#_x0000_t75" style="width:75pt;height:87.75pt" o:ole="" fillcolor="window">
            <v:imagedata r:id="rId73" o:title=""/>
          </v:shape>
          <o:OLEObject Type="Embed" ProgID="Equation.3" ShapeID="_x0000_i1061" DrawAspect="Content" ObjectID="_1271809620" r:id="rId74"/>
        </w:object>
      </w:r>
      <w:r w:rsidRPr="009624A3">
        <w:rPr>
          <w:rFonts w:ascii="Arial" w:hAnsi="Arial" w:cs="Arial"/>
          <w:b w:val="0"/>
          <w:szCs w:val="24"/>
        </w:rPr>
        <w:t>*100</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1340" w:dyaOrig="320">
          <v:shape id="_x0000_i1062" type="#_x0000_t75" style="width:67.5pt;height:15.75pt" o:ole="" fillcolor="window">
            <v:imagedata r:id="rId53" o:title=""/>
          </v:shape>
          <o:OLEObject Type="Embed" ProgID="Equation.3" ShapeID="_x0000_i1062" DrawAspect="Content" ObjectID="_1271809621" r:id="rId75"/>
        </w:object>
      </w:r>
      <w:r w:rsidRPr="009624A3">
        <w:rPr>
          <w:rFonts w:ascii="Arial" w:hAnsi="Arial" w:cs="Arial"/>
          <w:b w:val="0"/>
          <w:position w:val="-6"/>
          <w:szCs w:val="24"/>
        </w:rPr>
        <w:object w:dxaOrig="380" w:dyaOrig="279">
          <v:shape id="_x0000_i1063" type="#_x0000_t75" style="width:18.75pt;height:14.25pt" o:ole="" fillcolor="window">
            <v:imagedata r:id="rId55" o:title=""/>
          </v:shape>
          <o:OLEObject Type="Embed" ProgID="Equation.3" ShapeID="_x0000_i1063" DrawAspect="Content" ObjectID="_1271809622" r:id="rId76"/>
        </w:object>
      </w:r>
      <w:r w:rsidRPr="009624A3">
        <w:rPr>
          <w:rFonts w:ascii="Arial" w:hAnsi="Arial" w:cs="Arial"/>
          <w:b w:val="0"/>
          <w:position w:val="-6"/>
          <w:szCs w:val="24"/>
        </w:rPr>
        <w:object w:dxaOrig="520" w:dyaOrig="279">
          <v:shape id="_x0000_i1064" type="#_x0000_t75" style="width:26.25pt;height:14.25pt" o:ole="" fillcolor="window">
            <v:imagedata r:id="rId57" o:title=""/>
          </v:shape>
          <o:OLEObject Type="Embed" ProgID="Equation.3" ShapeID="_x0000_i1064" DrawAspect="Content" ObjectID="_1271809623" r:id="rId77"/>
        </w:object>
      </w:r>
      <w:r w:rsidRPr="009624A3">
        <w:rPr>
          <w:rFonts w:ascii="Arial" w:hAnsi="Arial" w:cs="Arial"/>
          <w:b w:val="0"/>
          <w:szCs w:val="24"/>
        </w:rPr>
        <w:t xml:space="preserve"> </w:t>
      </w:r>
      <w:r w:rsidRPr="009624A3">
        <w:rPr>
          <w:rFonts w:ascii="Arial" w:hAnsi="Arial" w:cs="Arial"/>
          <w:b w:val="0"/>
          <w:position w:val="-6"/>
          <w:szCs w:val="24"/>
        </w:rPr>
        <w:object w:dxaOrig="300" w:dyaOrig="220">
          <v:shape id="_x0000_i1065" type="#_x0000_t75" style="width:15pt;height:11.25pt" o:ole="" fillcolor="window">
            <v:imagedata r:id="rId59" o:title=""/>
          </v:shape>
          <o:OLEObject Type="Embed" ProgID="Equation.3" ShapeID="_x0000_i1065" DrawAspect="Content" ObjectID="_1271809624" r:id="rId78"/>
        </w:object>
      </w:r>
      <w:r w:rsidRPr="009624A3">
        <w:rPr>
          <w:rFonts w:ascii="Arial" w:hAnsi="Arial" w:cs="Arial"/>
          <w:b w:val="0"/>
          <w:position w:val="-6"/>
          <w:szCs w:val="24"/>
        </w:rPr>
        <w:object w:dxaOrig="260" w:dyaOrig="279">
          <v:shape id="_x0000_i1066" type="#_x0000_t75" style="width:12.75pt;height:14.25pt" o:ole="" fillcolor="window">
            <v:imagedata r:id="rId61" o:title=""/>
          </v:shape>
          <o:OLEObject Type="Embed" ProgID="Equation.3" ShapeID="_x0000_i1066" DrawAspect="Content" ObjectID="_1271809625" r:id="rId79"/>
        </w:object>
      </w:r>
      <w:r w:rsidRPr="009624A3">
        <w:rPr>
          <w:rFonts w:ascii="Arial" w:hAnsi="Arial" w:cs="Arial"/>
          <w:b w:val="0"/>
          <w:position w:val="-6"/>
          <w:szCs w:val="24"/>
        </w:rPr>
        <w:object w:dxaOrig="980" w:dyaOrig="279">
          <v:shape id="_x0000_i1067" type="#_x0000_t75" style="width:48.75pt;height:14.25pt" o:ole="" fillcolor="window">
            <v:imagedata r:id="rId63" o:title=""/>
          </v:shape>
          <o:OLEObject Type="Embed" ProgID="Equation.3" ShapeID="_x0000_i1067" DrawAspect="Content" ObjectID="_1271809626" r:id="rId80"/>
        </w:object>
      </w:r>
      <w:r w:rsidRPr="009624A3">
        <w:rPr>
          <w:rFonts w:ascii="Arial" w:hAnsi="Arial" w:cs="Arial"/>
          <w:b w:val="0"/>
          <w:szCs w:val="24"/>
        </w:rPr>
        <w:t xml:space="preserve"> = 107%</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 xml:space="preserve">En promedio más del 100% de los recursos del SGP de forzosa inversión financian la inversión  total del municipio. </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Efectos de los recursos del Sistema General de Participaciones en la Inversión:</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24"/>
          <w:szCs w:val="24"/>
        </w:rPr>
        <w:object w:dxaOrig="5760" w:dyaOrig="620">
          <v:shape id="_x0000_i1068" type="#_x0000_t75" style="width:4in;height:30.75pt" o:ole="" fillcolor="window">
            <v:imagedata r:id="rId81" o:title=""/>
          </v:shape>
          <o:OLEObject Type="Embed" ProgID="Equation.3" ShapeID="_x0000_i1068" DrawAspect="Content" ObjectID="_1271809627" r:id="rId82"/>
        </w:objec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10"/>
          <w:szCs w:val="24"/>
        </w:rPr>
        <w:object w:dxaOrig="180" w:dyaOrig="340">
          <v:shape id="_x0000_i1069" type="#_x0000_t75" style="width:9pt;height:16.5pt" o:ole="" fillcolor="window">
            <v:imagedata r:id="rId83" o:title=""/>
          </v:shape>
          <o:OLEObject Type="Embed" ProgID="Equation.3" ShapeID="_x0000_i1069" DrawAspect="Content" ObjectID="_1271809628" r:id="rId84"/>
        </w:objec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position w:val="-24"/>
          <w:szCs w:val="24"/>
        </w:rPr>
        <w:object w:dxaOrig="1500" w:dyaOrig="620">
          <v:shape id="_x0000_i1070" type="#_x0000_t75" style="width:75pt;height:30.75pt" o:ole="" fillcolor="window">
            <v:imagedata r:id="rId85" o:title=""/>
          </v:shape>
          <o:OLEObject Type="Embed" ProgID="Equation.3" ShapeID="_x0000_i1070" DrawAspect="Content" ObjectID="_1271809629" r:id="rId86"/>
        </w:object>
      </w:r>
      <w:r w:rsidRPr="009624A3">
        <w:rPr>
          <w:rFonts w:ascii="Arial" w:hAnsi="Arial" w:cs="Arial"/>
          <w:b w:val="0"/>
          <w:szCs w:val="24"/>
        </w:rPr>
        <w:t>= 0.079</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El efecto neto del crecimiento de la inversión ante el crecimiento de las transferencias de forzosa inversión, elevan la inversión pública en 0.07.</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Ahorro o Desahorro Corriente</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 xml:space="preserve">Durante los cuatro años del análisis se generaron excedentes de recursos con los cuales se financiaron pagos de inversión y el municipio pudo cumplir su función social  de provisión de servicios a la comunidad (inversión social), especialmente </w:t>
      </w:r>
      <w:r w:rsidRPr="009624A3">
        <w:rPr>
          <w:rFonts w:ascii="Arial" w:hAnsi="Arial" w:cs="Arial"/>
          <w:b w:val="0"/>
          <w:szCs w:val="24"/>
        </w:rPr>
        <w:lastRenderedPageBreak/>
        <w:t xml:space="preserve">en el 2007 se incremento el ahorro generado por un aumento de los ingresos corrientes que se incrementaron por recaudos de  ingresos  tributarios. </w:t>
      </w:r>
    </w:p>
    <w:p w:rsidR="00B51D37" w:rsidRPr="00A36AD6" w:rsidRDefault="00B51D37" w:rsidP="009624A3">
      <w:pPr>
        <w:pStyle w:val="Textoindependiente"/>
        <w:spacing w:line="360" w:lineRule="auto"/>
        <w:rPr>
          <w:rFonts w:ascii="Arial" w:hAnsi="Arial" w:cs="Arial"/>
          <w:szCs w:val="24"/>
        </w:rPr>
      </w:pPr>
    </w:p>
    <w:p w:rsidR="00B51D37" w:rsidRPr="00A36AD6" w:rsidRDefault="00A36AD6" w:rsidP="009624A3">
      <w:pPr>
        <w:pStyle w:val="Textoindependiente"/>
        <w:spacing w:line="360" w:lineRule="auto"/>
        <w:rPr>
          <w:rFonts w:ascii="Arial" w:hAnsi="Arial" w:cs="Arial"/>
          <w:szCs w:val="24"/>
        </w:rPr>
      </w:pPr>
      <w:r w:rsidRPr="00A36AD6">
        <w:rPr>
          <w:rFonts w:ascii="Arial" w:hAnsi="Arial" w:cs="Arial"/>
          <w:szCs w:val="24"/>
        </w:rPr>
        <w:t>DÉFICIT SUPERÁVIT</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Permite analizar el resultado de la política fiscal y económica local y se mide descontando del ahorro corriente (o déficit corriente) más los ingresos de capital, los pagos de capital (o gastos de</w:t>
      </w:r>
      <w:r w:rsidRPr="009624A3">
        <w:rPr>
          <w:rFonts w:ascii="Arial" w:hAnsi="Arial" w:cs="Arial"/>
          <w:b w:val="0"/>
          <w:szCs w:val="24"/>
          <w:lang w:val="es-ES"/>
        </w:rPr>
        <w:t xml:space="preserve"> </w:t>
      </w:r>
      <w:r w:rsidRPr="009624A3">
        <w:rPr>
          <w:rFonts w:ascii="Arial" w:hAnsi="Arial" w:cs="Arial"/>
          <w:b w:val="0"/>
          <w:szCs w:val="24"/>
        </w:rPr>
        <w:t>inversión)  del municipio.</w:t>
      </w: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En el 2006 se presenta  un déficit lo que significa que el municipio no alcanzó ese año a cubrir con sus recursos los pagos de inversión, sin embargo en los años siguientes especialmente en el 2007 en términos reales se presento superávit y pudo financiar efectivamente los niveles de inversión que decidió realizar.</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A36AD6" w:rsidP="009624A3">
      <w:pPr>
        <w:pStyle w:val="Textoindependiente"/>
        <w:spacing w:line="360" w:lineRule="auto"/>
        <w:rPr>
          <w:rFonts w:ascii="Arial" w:hAnsi="Arial" w:cs="Arial"/>
          <w:b w:val="0"/>
          <w:szCs w:val="24"/>
        </w:rPr>
      </w:pPr>
      <w:r w:rsidRPr="009624A3">
        <w:rPr>
          <w:rFonts w:ascii="Arial" w:hAnsi="Arial" w:cs="Arial"/>
          <w:b w:val="0"/>
          <w:szCs w:val="24"/>
        </w:rPr>
        <w:t>CONCLUSIONES Y RECOMENDACIONES</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Se observo decrecimiento en términos reales de los ingresos corrientes en el 2006, sin embargo en el último año aumentaron los recursos, situación que la administración debe mantener y a  su vez tomar medidas que le permitan  obtener mayores ingresos para cumplir metas que se proponga en beneficio del municipio.</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t>El municipio presenta gran dependencia de los recursos del SGP,  para financiar gastos de capital, esto no quiere decir que dicha sujeción sea mala, porque no se puede olvidar que este municipio tiene una baja capacidad fiscal, sin embargo puede mejorar su esfuerzo fiscal, para obtener cierta independencia y capacidad de inversión.</w:t>
      </w:r>
    </w:p>
    <w:p w:rsidR="00B51D37" w:rsidRPr="009624A3" w:rsidRDefault="00B51D37" w:rsidP="009624A3">
      <w:pPr>
        <w:pStyle w:val="Textoindependiente"/>
        <w:spacing w:line="360" w:lineRule="auto"/>
        <w:rPr>
          <w:rFonts w:ascii="Arial" w:hAnsi="Arial" w:cs="Arial"/>
          <w:b w:val="0"/>
          <w:szCs w:val="24"/>
        </w:rPr>
      </w:pPr>
    </w:p>
    <w:p w:rsidR="00B51D37" w:rsidRPr="00A36AD6" w:rsidRDefault="00B51D37" w:rsidP="009624A3">
      <w:pPr>
        <w:pStyle w:val="Textoindependiente"/>
        <w:spacing w:line="360" w:lineRule="auto"/>
        <w:rPr>
          <w:rFonts w:ascii="Arial" w:hAnsi="Arial" w:cs="Arial"/>
          <w:b w:val="0"/>
          <w:szCs w:val="24"/>
        </w:rPr>
      </w:pPr>
      <w:r w:rsidRPr="009624A3">
        <w:rPr>
          <w:rFonts w:ascii="Arial" w:hAnsi="Arial" w:cs="Arial"/>
          <w:b w:val="0"/>
          <w:szCs w:val="24"/>
        </w:rPr>
        <w:t>En el municipio se pueden activar mecanismos que permitan recaudar y mantener una carga tributaria constante para aumentar los ingresos, especialmente  por impuestos no tributarios que en los últimos años de la vigencia mostraron un comportamiento favorable y que permitieron el incremento de los recursos propios.</w:t>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r w:rsidRPr="009624A3">
        <w:rPr>
          <w:rFonts w:ascii="Arial" w:hAnsi="Arial" w:cs="Arial"/>
          <w:b w:val="0"/>
          <w:szCs w:val="24"/>
        </w:rPr>
        <w:lastRenderedPageBreak/>
        <w:br/>
      </w:r>
      <w:r w:rsidRPr="009624A3">
        <w:rPr>
          <w:rFonts w:ascii="Arial" w:hAnsi="Arial" w:cs="Arial"/>
          <w:b w:val="0"/>
          <w:szCs w:val="24"/>
        </w:rPr>
        <w:br/>
      </w:r>
      <w:r w:rsidRPr="009624A3">
        <w:rPr>
          <w:rFonts w:ascii="Arial" w:hAnsi="Arial" w:cs="Arial"/>
          <w:b w:val="0"/>
          <w:szCs w:val="24"/>
        </w:rPr>
        <w:br/>
      </w:r>
      <w:r w:rsidRPr="009624A3">
        <w:rPr>
          <w:rFonts w:ascii="Arial" w:hAnsi="Arial" w:cs="Arial"/>
          <w:b w:val="0"/>
          <w:szCs w:val="24"/>
        </w:rPr>
        <w:br/>
      </w:r>
      <w:r w:rsidRPr="009624A3">
        <w:rPr>
          <w:rFonts w:ascii="Arial" w:hAnsi="Arial" w:cs="Arial"/>
          <w:b w:val="0"/>
          <w:szCs w:val="24"/>
        </w:rPr>
        <w:br/>
      </w:r>
      <w:r w:rsidRPr="009624A3">
        <w:rPr>
          <w:rFonts w:ascii="Arial" w:hAnsi="Arial" w:cs="Arial"/>
          <w:b w:val="0"/>
          <w:szCs w:val="24"/>
        </w:rPr>
        <w:br/>
      </w:r>
      <w:r w:rsidRPr="009624A3">
        <w:rPr>
          <w:rFonts w:ascii="Arial" w:hAnsi="Arial" w:cs="Arial"/>
          <w:b w:val="0"/>
          <w:szCs w:val="24"/>
        </w:rPr>
        <w:br/>
      </w: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b w:val="0"/>
          <w:szCs w:val="24"/>
        </w:rPr>
      </w:pPr>
    </w:p>
    <w:p w:rsidR="00B51D37" w:rsidRPr="009624A3" w:rsidRDefault="00B51D37" w:rsidP="009624A3">
      <w:pPr>
        <w:pStyle w:val="Textoindependiente"/>
        <w:spacing w:line="360" w:lineRule="auto"/>
        <w:rPr>
          <w:rFonts w:ascii="Arial" w:hAnsi="Arial" w:cs="Arial"/>
          <w:szCs w:val="24"/>
        </w:rPr>
      </w:pPr>
    </w:p>
    <w:p w:rsidR="00B51D37" w:rsidRPr="009624A3" w:rsidRDefault="00B51D37" w:rsidP="009624A3">
      <w:pPr>
        <w:pStyle w:val="Textoindependiente"/>
        <w:spacing w:line="360" w:lineRule="auto"/>
        <w:rPr>
          <w:rFonts w:ascii="Arial" w:hAnsi="Arial" w:cs="Arial"/>
          <w:szCs w:val="24"/>
        </w:rPr>
      </w:pPr>
    </w:p>
    <w:p w:rsidR="00E523D3" w:rsidRPr="009624A3" w:rsidRDefault="00E523D3" w:rsidP="009624A3">
      <w:pPr>
        <w:spacing w:line="360" w:lineRule="auto"/>
        <w:jc w:val="both"/>
        <w:rPr>
          <w:rFonts w:ascii="Arial" w:hAnsi="Arial" w:cs="Arial"/>
          <w:sz w:val="24"/>
          <w:szCs w:val="24"/>
          <w:lang w:val="es-ES_tradnl"/>
        </w:rPr>
      </w:pPr>
    </w:p>
    <w:sectPr w:rsidR="00E523D3" w:rsidRPr="009624A3" w:rsidSect="00D03A7D">
      <w:footerReference w:type="even" r:id="rId87"/>
      <w:footerReference w:type="default" r:id="rId88"/>
      <w:pgSz w:w="12242" w:h="15842" w:code="1"/>
      <w:pgMar w:top="1701"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3CB3" w:rsidRDefault="00303CB3" w:rsidP="00FB6475">
      <w:pPr>
        <w:spacing w:after="0" w:line="240" w:lineRule="auto"/>
      </w:pPr>
      <w:r>
        <w:separator/>
      </w:r>
    </w:p>
  </w:endnote>
  <w:endnote w:type="continuationSeparator" w:id="1">
    <w:p w:rsidR="00303CB3" w:rsidRDefault="00303CB3" w:rsidP="00FB64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07" w:rsidRDefault="00FB6475">
    <w:pPr>
      <w:pStyle w:val="Piedepgina"/>
      <w:framePr w:wrap="around" w:vAnchor="text" w:hAnchor="margin" w:xAlign="right" w:y="1"/>
      <w:rPr>
        <w:rStyle w:val="Nmerodepgina"/>
      </w:rPr>
    </w:pPr>
    <w:r>
      <w:rPr>
        <w:rStyle w:val="Nmerodepgina"/>
      </w:rPr>
      <w:fldChar w:fldCharType="begin"/>
    </w:r>
    <w:r w:rsidR="00E523D3">
      <w:rPr>
        <w:rStyle w:val="Nmerodepgina"/>
      </w:rPr>
      <w:instrText xml:space="preserve">PAGE  </w:instrText>
    </w:r>
    <w:r>
      <w:rPr>
        <w:rStyle w:val="Nmerodepgina"/>
      </w:rPr>
      <w:fldChar w:fldCharType="end"/>
    </w:r>
  </w:p>
  <w:p w:rsidR="001D3F07" w:rsidRDefault="00303CB3">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07" w:rsidRDefault="00FB6475">
    <w:pPr>
      <w:pStyle w:val="Piedepgina"/>
      <w:framePr w:wrap="around" w:vAnchor="text" w:hAnchor="margin" w:xAlign="right" w:y="1"/>
      <w:rPr>
        <w:rStyle w:val="Nmerodepgina"/>
      </w:rPr>
    </w:pPr>
    <w:r>
      <w:rPr>
        <w:rStyle w:val="Nmerodepgina"/>
      </w:rPr>
      <w:fldChar w:fldCharType="begin"/>
    </w:r>
    <w:r w:rsidR="00E523D3">
      <w:rPr>
        <w:rStyle w:val="Nmerodepgina"/>
      </w:rPr>
      <w:instrText xml:space="preserve">PAGE  </w:instrText>
    </w:r>
    <w:r>
      <w:rPr>
        <w:rStyle w:val="Nmerodepgina"/>
      </w:rPr>
      <w:fldChar w:fldCharType="separate"/>
    </w:r>
    <w:r w:rsidR="00D46C9D">
      <w:rPr>
        <w:rStyle w:val="Nmerodepgina"/>
        <w:noProof/>
      </w:rPr>
      <w:t>14</w:t>
    </w:r>
    <w:r>
      <w:rPr>
        <w:rStyle w:val="Nmerodepgina"/>
      </w:rPr>
      <w:fldChar w:fldCharType="end"/>
    </w:r>
  </w:p>
  <w:p w:rsidR="001D3F07" w:rsidRDefault="00303CB3">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3CB3" w:rsidRDefault="00303CB3" w:rsidP="00FB6475">
      <w:pPr>
        <w:spacing w:after="0" w:line="240" w:lineRule="auto"/>
      </w:pPr>
      <w:r>
        <w:separator/>
      </w:r>
    </w:p>
  </w:footnote>
  <w:footnote w:type="continuationSeparator" w:id="1">
    <w:p w:rsidR="00303CB3" w:rsidRDefault="00303CB3" w:rsidP="00FB64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B51D37"/>
    <w:rsid w:val="002007BA"/>
    <w:rsid w:val="00303CB3"/>
    <w:rsid w:val="004610D4"/>
    <w:rsid w:val="009624A3"/>
    <w:rsid w:val="00A36AD6"/>
    <w:rsid w:val="00B51D37"/>
    <w:rsid w:val="00D46C9D"/>
    <w:rsid w:val="00E523D3"/>
    <w:rsid w:val="00FB6475"/>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475"/>
  </w:style>
  <w:style w:type="paragraph" w:styleId="Ttulo1">
    <w:name w:val="heading 1"/>
    <w:basedOn w:val="Normal"/>
    <w:next w:val="Normal"/>
    <w:link w:val="Ttulo1Car"/>
    <w:qFormat/>
    <w:rsid w:val="00B51D37"/>
    <w:pPr>
      <w:keepNext/>
      <w:spacing w:after="0" w:line="240" w:lineRule="auto"/>
      <w:jc w:val="center"/>
      <w:outlineLvl w:val="0"/>
    </w:pPr>
    <w:rPr>
      <w:rFonts w:ascii="Times New Roman" w:eastAsia="Times New Roman" w:hAnsi="Times New Roman" w:cs="Times New Roman"/>
      <w:sz w:val="24"/>
      <w:szCs w:val="20"/>
      <w:lang w:val="es-ES" w:eastAsia="es-ES"/>
    </w:rPr>
  </w:style>
  <w:style w:type="paragraph" w:styleId="Ttulo4">
    <w:name w:val="heading 4"/>
    <w:basedOn w:val="Normal"/>
    <w:next w:val="Normal"/>
    <w:link w:val="Ttulo4Car"/>
    <w:qFormat/>
    <w:rsid w:val="00B51D37"/>
    <w:pPr>
      <w:keepNext/>
      <w:spacing w:before="240" w:after="60" w:line="240" w:lineRule="auto"/>
      <w:outlineLvl w:val="3"/>
    </w:pPr>
    <w:rPr>
      <w:rFonts w:ascii="Times New Roman" w:eastAsia="Times New Roman" w:hAnsi="Times New Roman" w:cs="Times New Roman"/>
      <w:b/>
      <w:b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51D37"/>
    <w:rPr>
      <w:rFonts w:ascii="Times New Roman" w:eastAsia="Times New Roman" w:hAnsi="Times New Roman" w:cs="Times New Roman"/>
      <w:sz w:val="24"/>
      <w:szCs w:val="20"/>
      <w:lang w:val="es-ES" w:eastAsia="es-ES"/>
    </w:rPr>
  </w:style>
  <w:style w:type="character" w:customStyle="1" w:styleId="Ttulo4Car">
    <w:name w:val="Título 4 Car"/>
    <w:basedOn w:val="Fuentedeprrafopredeter"/>
    <w:link w:val="Ttulo4"/>
    <w:rsid w:val="00B51D37"/>
    <w:rPr>
      <w:rFonts w:ascii="Times New Roman" w:eastAsia="Times New Roman" w:hAnsi="Times New Roman" w:cs="Times New Roman"/>
      <w:b/>
      <w:bCs/>
      <w:sz w:val="28"/>
      <w:szCs w:val="28"/>
      <w:lang w:val="es-ES" w:eastAsia="es-ES"/>
    </w:rPr>
  </w:style>
  <w:style w:type="paragraph" w:styleId="Textoindependiente">
    <w:name w:val="Body Text"/>
    <w:basedOn w:val="Normal"/>
    <w:link w:val="TextoindependienteCar"/>
    <w:rsid w:val="00B51D37"/>
    <w:pPr>
      <w:spacing w:after="0" w:line="240" w:lineRule="auto"/>
      <w:jc w:val="both"/>
    </w:pPr>
    <w:rPr>
      <w:rFonts w:ascii="Times New Roman" w:eastAsia="Times New Roman" w:hAnsi="Times New Roman" w:cs="Times New Roman"/>
      <w:b/>
      <w:sz w:val="24"/>
      <w:szCs w:val="20"/>
      <w:lang w:val="es-ES_tradnl" w:eastAsia="es-ES"/>
    </w:rPr>
  </w:style>
  <w:style w:type="character" w:customStyle="1" w:styleId="TextoindependienteCar">
    <w:name w:val="Texto independiente Car"/>
    <w:basedOn w:val="Fuentedeprrafopredeter"/>
    <w:link w:val="Textoindependiente"/>
    <w:rsid w:val="00B51D37"/>
    <w:rPr>
      <w:rFonts w:ascii="Times New Roman" w:eastAsia="Times New Roman" w:hAnsi="Times New Roman" w:cs="Times New Roman"/>
      <w:b/>
      <w:sz w:val="24"/>
      <w:szCs w:val="20"/>
      <w:lang w:val="es-ES_tradnl" w:eastAsia="es-ES"/>
    </w:rPr>
  </w:style>
  <w:style w:type="paragraph" w:styleId="Piedepgina">
    <w:name w:val="footer"/>
    <w:basedOn w:val="Normal"/>
    <w:link w:val="PiedepginaCar"/>
    <w:rsid w:val="00B51D37"/>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rsid w:val="00B51D3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rsid w:val="00B51D37"/>
    <w:pPr>
      <w:spacing w:after="120"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basedOn w:val="Fuentedeprrafopredeter"/>
    <w:link w:val="Textoindependiente2"/>
    <w:rsid w:val="00B51D37"/>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51D37"/>
  </w:style>
  <w:style w:type="paragraph" w:styleId="Encabezado">
    <w:name w:val="header"/>
    <w:basedOn w:val="Normal"/>
    <w:link w:val="EncabezadoCar"/>
    <w:uiPriority w:val="99"/>
    <w:semiHidden/>
    <w:unhideWhenUsed/>
    <w:rsid w:val="00D46C9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D46C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2.bin"/><Relationship Id="rId39" Type="http://schemas.openxmlformats.org/officeDocument/2006/relationships/image" Target="media/image13.wmf"/><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chart" Target="charts/chart5.xml"/><Relationship Id="rId50" Type="http://schemas.openxmlformats.org/officeDocument/2006/relationships/oleObject" Target="embeddings/oleObject23.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3.bin"/><Relationship Id="rId76" Type="http://schemas.openxmlformats.org/officeDocument/2006/relationships/oleObject" Target="embeddings/oleObject40.bin"/><Relationship Id="rId84" Type="http://schemas.openxmlformats.org/officeDocument/2006/relationships/oleObject" Target="embeddings/oleObject46.bin"/><Relationship Id="rId89" Type="http://schemas.openxmlformats.org/officeDocument/2006/relationships/fontTable" Target="fontTable.xml"/><Relationship Id="rId7" Type="http://schemas.openxmlformats.org/officeDocument/2006/relationships/oleObject" Target="embeddings/oleObject1.bin"/><Relationship Id="rId71" Type="http://schemas.openxmlformats.org/officeDocument/2006/relationships/oleObject" Target="embeddings/oleObject36.bin"/><Relationship Id="rId2" Type="http://schemas.openxmlformats.org/officeDocument/2006/relationships/settings" Target="settings.xml"/><Relationship Id="rId16" Type="http://schemas.openxmlformats.org/officeDocument/2006/relationships/oleObject" Target="embeddings/oleObject6.bin"/><Relationship Id="rId29" Type="http://schemas.openxmlformats.org/officeDocument/2006/relationships/chart" Target="charts/chart3.xml"/><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oleObject" Target="embeddings/oleObject18.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8.bin"/><Relationship Id="rId79" Type="http://schemas.openxmlformats.org/officeDocument/2006/relationships/oleObject" Target="embeddings/oleObject43.bin"/><Relationship Id="rId87" Type="http://schemas.openxmlformats.org/officeDocument/2006/relationships/footer" Target="footer1.xml"/><Relationship Id="rId5" Type="http://schemas.openxmlformats.org/officeDocument/2006/relationships/endnotes" Target="endnotes.xml"/><Relationship Id="rId61" Type="http://schemas.openxmlformats.org/officeDocument/2006/relationships/image" Target="media/image23.wmf"/><Relationship Id="rId82" Type="http://schemas.openxmlformats.org/officeDocument/2006/relationships/oleObject" Target="embeddings/oleObject45.bin"/><Relationship Id="rId90" Type="http://schemas.openxmlformats.org/officeDocument/2006/relationships/theme" Target="theme/theme1.xml"/><Relationship Id="rId19" Type="http://schemas.openxmlformats.org/officeDocument/2006/relationships/oleObject" Target="embeddings/oleObject8.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chart" Target="charts/chart1.xml"/><Relationship Id="rId30" Type="http://schemas.openxmlformats.org/officeDocument/2006/relationships/chart" Target="charts/chart4.xml"/><Relationship Id="rId35" Type="http://schemas.openxmlformats.org/officeDocument/2006/relationships/oleObject" Target="embeddings/oleObject15.bin"/><Relationship Id="rId43" Type="http://schemas.openxmlformats.org/officeDocument/2006/relationships/image" Target="media/image15.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oleObject" Target="embeddings/oleObject41.bin"/><Relationship Id="rId8" Type="http://schemas.openxmlformats.org/officeDocument/2006/relationships/image" Target="media/image2.wmf"/><Relationship Id="rId51" Type="http://schemas.openxmlformats.org/officeDocument/2006/relationships/image" Target="media/image18.wmf"/><Relationship Id="rId72" Type="http://schemas.openxmlformats.org/officeDocument/2006/relationships/oleObject" Target="embeddings/oleObject37.bin"/><Relationship Id="rId80" Type="http://schemas.openxmlformats.org/officeDocument/2006/relationships/oleObject" Target="embeddings/oleObject44.bin"/><Relationship Id="rId85" Type="http://schemas.openxmlformats.org/officeDocument/2006/relationships/image" Target="media/image29.wmf"/><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image" Target="media/image11.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2.wmf"/><Relationship Id="rId67" Type="http://schemas.openxmlformats.org/officeDocument/2006/relationships/oleObject" Target="embeddings/oleObject32.bin"/><Relationship Id="rId20"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oleObject" Target="embeddings/oleObject39.bin"/><Relationship Id="rId83" Type="http://schemas.openxmlformats.org/officeDocument/2006/relationships/image" Target="media/image28.wmf"/><Relationship Id="rId88"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chart" Target="charts/chart2.xml"/><Relationship Id="rId36" Type="http://schemas.openxmlformats.org/officeDocument/2006/relationships/oleObject" Target="embeddings/oleObject16.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image" Target="media/image3.wmf"/><Relationship Id="rId31" Type="http://schemas.openxmlformats.org/officeDocument/2006/relationships/image" Target="media/image10.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5.wmf"/><Relationship Id="rId73" Type="http://schemas.openxmlformats.org/officeDocument/2006/relationships/image" Target="media/image26.wmf"/><Relationship Id="rId78" Type="http://schemas.openxmlformats.org/officeDocument/2006/relationships/oleObject" Target="embeddings/oleObject42.bin"/><Relationship Id="rId81" Type="http://schemas.openxmlformats.org/officeDocument/2006/relationships/image" Target="media/image27.wmf"/><Relationship Id="rId86" Type="http://schemas.openxmlformats.org/officeDocument/2006/relationships/oleObject" Target="embeddings/oleObject47.bin"/></Relationships>
</file>

<file path=word/charts/_rels/chart1.xml.rels><?xml version="1.0" encoding="UTF-8" standalone="yes"?>
<Relationships xmlns="http://schemas.openxmlformats.org/package/2006/relationships"><Relationship Id="rId2" Type="http://schemas.openxmlformats.org/officeDocument/2006/relationships/package" Target="../embeddings/Hoja_de_c_lculo_de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Hoja_de_c_lculo_de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Hoja_de_c_lculo_de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Hoja_de_c_lculo_de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Hoja_de_c_lculo_de_Microsoft_Office_Excel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CO"/>
  <c:clrMapOvr bg1="lt1" tx1="dk1" bg2="lt2" tx2="dk2" accent1="accent1" accent2="accent2" accent3="accent3" accent4="accent4" accent5="accent5" accent6="accent6" hlink="hlink" folHlink="folHlink"/>
  <c:chart>
    <c:title>
      <c:tx>
        <c:rich>
          <a:bodyPr/>
          <a:lstStyle/>
          <a:p>
            <a:pPr>
              <a:defRPr sz="1054" b="1" i="0" u="none" strike="noStrike" baseline="0">
                <a:solidFill>
                  <a:srgbClr val="000000"/>
                </a:solidFill>
                <a:latin typeface="Arial"/>
                <a:ea typeface="Arial"/>
                <a:cs typeface="Arial"/>
              </a:defRPr>
            </a:pPr>
            <a:r>
              <a:rPr lang="es-CO"/>
              <a:t>Variación Marginal Impuesto Predial</a:t>
            </a:r>
          </a:p>
        </c:rich>
      </c:tx>
      <c:layout>
        <c:manualLayout>
          <c:xMode val="edge"/>
          <c:yMode val="edge"/>
          <c:x val="0.1117824773413898"/>
          <c:y val="2.066115702479342E-2"/>
        </c:manualLayout>
      </c:layout>
      <c:spPr>
        <a:noFill/>
        <a:ln w="25504">
          <a:noFill/>
        </a:ln>
      </c:spPr>
    </c:title>
    <c:plotArea>
      <c:layout>
        <c:manualLayout>
          <c:layoutTarget val="inner"/>
          <c:xMode val="edge"/>
          <c:yMode val="edge"/>
          <c:x val="0.227692307692308"/>
          <c:y val="0.22978723404255344"/>
          <c:w val="0.7415384615384617"/>
          <c:h val="0.58297872340425538"/>
        </c:manualLayout>
      </c:layout>
      <c:lineChart>
        <c:grouping val="standard"/>
        <c:ser>
          <c:idx val="0"/>
          <c:order val="0"/>
          <c:spPr>
            <a:ln w="25504">
              <a:solidFill>
                <a:srgbClr val="333399"/>
              </a:solidFill>
              <a:prstDash val="solid"/>
            </a:ln>
          </c:spPr>
          <c:marker>
            <c:symbol val="diamond"/>
            <c:size val="4"/>
            <c:spPr>
              <a:solidFill>
                <a:srgbClr val="000080"/>
              </a:solidFill>
              <a:ln>
                <a:solidFill>
                  <a:srgbClr val="000080"/>
                </a:solidFill>
                <a:prstDash val="solid"/>
              </a:ln>
            </c:spPr>
          </c:marker>
          <c:dPt>
            <c:idx val="0"/>
            <c:marker>
              <c:symbol val="circle"/>
              <c:size val="4"/>
            </c:marker>
          </c:dPt>
          <c:dPt>
            <c:idx val="1"/>
            <c:marker>
              <c:symbol val="circle"/>
              <c:size val="4"/>
            </c:marker>
            <c:spPr>
              <a:ln w="12753">
                <a:solidFill>
                  <a:srgbClr val="333399"/>
                </a:solidFill>
                <a:prstDash val="solid"/>
              </a:ln>
            </c:spPr>
          </c:dPt>
          <c:cat>
            <c:strRef>
              <c:f>Indicadores!$D$4:$E$4</c:f>
              <c:strCache>
                <c:ptCount val="2"/>
                <c:pt idx="0">
                  <c:v>2005-2006</c:v>
                </c:pt>
                <c:pt idx="1">
                  <c:v>2006-2007</c:v>
                </c:pt>
              </c:strCache>
            </c:strRef>
          </c:cat>
          <c:val>
            <c:numRef>
              <c:f>Indicadores!$D$8:$E$8</c:f>
              <c:numCache>
                <c:formatCode>0%</c:formatCode>
                <c:ptCount val="2"/>
                <c:pt idx="0">
                  <c:v>-0.19358549335449765</c:v>
                </c:pt>
                <c:pt idx="1">
                  <c:v>0.31574503146766181</c:v>
                </c:pt>
              </c:numCache>
            </c:numRef>
          </c:val>
          <c:smooth val="1"/>
        </c:ser>
        <c:marker val="1"/>
        <c:axId val="65372544"/>
        <c:axId val="65375232"/>
      </c:lineChart>
      <c:catAx>
        <c:axId val="65372544"/>
        <c:scaling>
          <c:orientation val="minMax"/>
        </c:scaling>
        <c:axPos val="b"/>
        <c:title>
          <c:tx>
            <c:rich>
              <a:bodyPr/>
              <a:lstStyle/>
              <a:p>
                <a:pPr>
                  <a:defRPr sz="879" b="1" i="0" u="none" strike="noStrike" baseline="0">
                    <a:solidFill>
                      <a:srgbClr val="000000"/>
                    </a:solidFill>
                    <a:latin typeface="Arial"/>
                    <a:ea typeface="Arial"/>
                    <a:cs typeface="Arial"/>
                  </a:defRPr>
                </a:pPr>
                <a:r>
                  <a:rPr lang="es-CO"/>
                  <a:t>Período</a:t>
                </a:r>
              </a:p>
            </c:rich>
          </c:tx>
          <c:layout>
            <c:manualLayout>
              <c:xMode val="edge"/>
              <c:yMode val="edge"/>
              <c:x val="0.52307697187398361"/>
              <c:y val="0.85957435553114003"/>
            </c:manualLayout>
          </c:layout>
          <c:spPr>
            <a:noFill/>
            <a:ln w="25504">
              <a:noFill/>
            </a:ln>
          </c:spPr>
        </c:title>
        <c:numFmt formatCode="General" sourceLinked="1"/>
        <c:tickLblPos val="nextTo"/>
        <c:spPr>
          <a:ln w="3188">
            <a:solidFill>
              <a:srgbClr val="000000"/>
            </a:solidFill>
            <a:prstDash val="solid"/>
          </a:ln>
        </c:spPr>
        <c:txPr>
          <a:bodyPr rot="0" vert="horz"/>
          <a:lstStyle/>
          <a:p>
            <a:pPr>
              <a:defRPr sz="879" b="0" i="0" u="none" strike="noStrike" baseline="0">
                <a:solidFill>
                  <a:srgbClr val="000000"/>
                </a:solidFill>
                <a:latin typeface="Arial"/>
                <a:ea typeface="Arial"/>
                <a:cs typeface="Arial"/>
              </a:defRPr>
            </a:pPr>
            <a:endParaRPr lang="es-CO"/>
          </a:p>
        </c:txPr>
        <c:crossAx val="65375232"/>
        <c:crosses val="autoZero"/>
        <c:auto val="1"/>
        <c:lblAlgn val="ctr"/>
        <c:lblOffset val="100"/>
        <c:tickLblSkip val="1"/>
        <c:tickMarkSkip val="1"/>
      </c:catAx>
      <c:valAx>
        <c:axId val="65375232"/>
        <c:scaling>
          <c:orientation val="minMax"/>
        </c:scaling>
        <c:axPos val="l"/>
        <c:majorGridlines>
          <c:spPr>
            <a:ln w="3188">
              <a:solidFill>
                <a:srgbClr val="000000"/>
              </a:solidFill>
              <a:prstDash val="solid"/>
            </a:ln>
          </c:spPr>
        </c:majorGridlines>
        <c:title>
          <c:tx>
            <c:rich>
              <a:bodyPr/>
              <a:lstStyle/>
              <a:p>
                <a:pPr>
                  <a:defRPr sz="879" b="1" i="0" u="none" strike="noStrike" baseline="0">
                    <a:solidFill>
                      <a:srgbClr val="000000"/>
                    </a:solidFill>
                    <a:latin typeface="Arial"/>
                    <a:ea typeface="Arial"/>
                    <a:cs typeface="Arial"/>
                  </a:defRPr>
                </a:pPr>
                <a:r>
                  <a:rPr lang="es-CO"/>
                  <a:t>Porcentaje</a:t>
                </a:r>
              </a:p>
            </c:rich>
          </c:tx>
          <c:layout>
            <c:manualLayout>
              <c:xMode val="edge"/>
              <c:yMode val="edge"/>
              <c:x val="3.3846056252031943E-2"/>
              <c:y val="0.37872347351929886"/>
            </c:manualLayout>
          </c:layout>
          <c:spPr>
            <a:noFill/>
            <a:ln w="25504">
              <a:noFill/>
            </a:ln>
          </c:spPr>
        </c:title>
        <c:numFmt formatCode="0%" sourceLinked="1"/>
        <c:tickLblPos val="nextTo"/>
        <c:spPr>
          <a:ln w="3188">
            <a:solidFill>
              <a:srgbClr val="000000"/>
            </a:solidFill>
            <a:prstDash val="solid"/>
          </a:ln>
        </c:spPr>
        <c:txPr>
          <a:bodyPr rot="0" vert="horz"/>
          <a:lstStyle/>
          <a:p>
            <a:pPr>
              <a:defRPr sz="879" b="0" i="0" u="none" strike="noStrike" baseline="0">
                <a:solidFill>
                  <a:srgbClr val="000000"/>
                </a:solidFill>
                <a:latin typeface="Arial"/>
                <a:ea typeface="Arial"/>
                <a:cs typeface="Arial"/>
              </a:defRPr>
            </a:pPr>
            <a:endParaRPr lang="es-CO"/>
          </a:p>
        </c:txPr>
        <c:crossAx val="65372544"/>
        <c:crosses val="autoZero"/>
        <c:crossBetween val="between"/>
      </c:valAx>
      <c:spPr>
        <a:solidFill>
          <a:srgbClr val="C0C0C0"/>
        </a:solidFill>
        <a:ln w="12753">
          <a:solidFill>
            <a:srgbClr val="808080"/>
          </a:solidFill>
          <a:prstDash val="solid"/>
        </a:ln>
      </c:spPr>
    </c:plotArea>
    <c:plotVisOnly val="1"/>
    <c:dispBlanksAs val="gap"/>
  </c:chart>
  <c:spPr>
    <a:solidFill>
      <a:srgbClr val="FFFFFF"/>
    </a:solidFill>
    <a:ln w="3188">
      <a:solidFill>
        <a:srgbClr val="000000"/>
      </a:solidFill>
      <a:prstDash val="solid"/>
    </a:ln>
  </c:spPr>
  <c:txPr>
    <a:bodyPr/>
    <a:lstStyle/>
    <a:p>
      <a:pPr>
        <a:defRPr sz="879" b="0" i="0" u="none" strike="noStrike" baseline="0">
          <a:solidFill>
            <a:srgbClr val="000000"/>
          </a:solidFill>
          <a:latin typeface="Arial"/>
          <a:ea typeface="Arial"/>
          <a:cs typeface="Arial"/>
        </a:defRPr>
      </a:pPr>
      <a:endParaRPr lang="es-CO"/>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CO"/>
  <c:clrMapOvr bg1="lt1" tx1="dk1" bg2="lt2" tx2="dk2" accent1="accent1" accent2="accent2" accent3="accent3" accent4="accent4" accent5="accent5" accent6="accent6" hlink="hlink" folHlink="folHlink"/>
  <c:chart>
    <c:title>
      <c:tx>
        <c:rich>
          <a:bodyPr/>
          <a:lstStyle/>
          <a:p>
            <a:pPr>
              <a:defRPr sz="1104" b="1" i="0" u="none" strike="noStrike" baseline="0">
                <a:solidFill>
                  <a:srgbClr val="000000"/>
                </a:solidFill>
                <a:latin typeface="Arial"/>
                <a:ea typeface="Arial"/>
                <a:cs typeface="Arial"/>
              </a:defRPr>
            </a:pPr>
            <a:r>
              <a:rPr lang="es-CO"/>
              <a:t>Variación Marginal Ingresos no Tributarios</a:t>
            </a:r>
          </a:p>
        </c:rich>
      </c:tx>
      <c:layout>
        <c:manualLayout>
          <c:xMode val="edge"/>
          <c:yMode val="edge"/>
          <c:x val="0.17543859649122831"/>
          <c:y val="2.1551724137931015E-2"/>
        </c:manualLayout>
      </c:layout>
      <c:spPr>
        <a:noFill/>
        <a:ln w="25493">
          <a:noFill/>
        </a:ln>
      </c:spPr>
    </c:title>
    <c:plotArea>
      <c:layout>
        <c:manualLayout>
          <c:layoutTarget val="inner"/>
          <c:xMode val="edge"/>
          <c:yMode val="edge"/>
          <c:x val="0.22916666666666666"/>
          <c:y val="0.34666666666666734"/>
          <c:w val="0.74107142857142994"/>
          <c:h val="0.45777777777777839"/>
        </c:manualLayout>
      </c:layout>
      <c:lineChart>
        <c:grouping val="standard"/>
        <c:ser>
          <c:idx val="0"/>
          <c:order val="0"/>
          <c:spPr>
            <a:ln w="12746">
              <a:solidFill>
                <a:srgbClr val="000080"/>
              </a:solidFill>
              <a:prstDash val="solid"/>
            </a:ln>
          </c:spPr>
          <c:marker>
            <c:symbol val="circle"/>
            <c:size val="5"/>
            <c:spPr>
              <a:solidFill>
                <a:srgbClr val="000080"/>
              </a:solidFill>
              <a:ln>
                <a:solidFill>
                  <a:srgbClr val="000080"/>
                </a:solidFill>
                <a:prstDash val="solid"/>
              </a:ln>
            </c:spPr>
          </c:marker>
          <c:cat>
            <c:strRef>
              <c:f>Indicadores!$D$4:$E$4</c:f>
              <c:strCache>
                <c:ptCount val="2"/>
                <c:pt idx="0">
                  <c:v>2005-2006</c:v>
                </c:pt>
                <c:pt idx="1">
                  <c:v>2006-2007</c:v>
                </c:pt>
              </c:strCache>
            </c:strRef>
          </c:cat>
          <c:val>
            <c:numRef>
              <c:f>Indicadores!$D$11:$E$11</c:f>
              <c:numCache>
                <c:formatCode>0%</c:formatCode>
                <c:ptCount val="2"/>
                <c:pt idx="0">
                  <c:v>2.0796311078991807</c:v>
                </c:pt>
                <c:pt idx="1">
                  <c:v>-0.15646230239972897</c:v>
                </c:pt>
              </c:numCache>
            </c:numRef>
          </c:val>
        </c:ser>
        <c:marker val="1"/>
        <c:axId val="67586304"/>
        <c:axId val="67635072"/>
      </c:lineChart>
      <c:catAx>
        <c:axId val="67586304"/>
        <c:scaling>
          <c:orientation val="minMax"/>
        </c:scaling>
        <c:axPos val="b"/>
        <c:title>
          <c:tx>
            <c:rich>
              <a:bodyPr/>
              <a:lstStyle/>
              <a:p>
                <a:pPr>
                  <a:defRPr sz="903" b="1" i="0" u="none" strike="noStrike" baseline="0">
                    <a:solidFill>
                      <a:srgbClr val="000000"/>
                    </a:solidFill>
                    <a:latin typeface="Arial"/>
                    <a:ea typeface="Arial"/>
                    <a:cs typeface="Arial"/>
                  </a:defRPr>
                </a:pPr>
                <a:r>
                  <a:rPr lang="es-CO"/>
                  <a:t>Período</a:t>
                </a:r>
              </a:p>
            </c:rich>
          </c:tx>
          <c:layout>
            <c:manualLayout>
              <c:xMode val="edge"/>
              <c:yMode val="edge"/>
              <c:x val="0.52678577458519493"/>
              <c:y val="0.85333333333333361"/>
            </c:manualLayout>
          </c:layout>
          <c:spPr>
            <a:noFill/>
            <a:ln w="25493">
              <a:noFill/>
            </a:ln>
          </c:spPr>
        </c:title>
        <c:numFmt formatCode="General" sourceLinked="1"/>
        <c:tickLblPos val="nextTo"/>
        <c:spPr>
          <a:ln w="3187">
            <a:solidFill>
              <a:srgbClr val="000000"/>
            </a:solidFill>
            <a:prstDash val="solid"/>
          </a:ln>
        </c:spPr>
        <c:txPr>
          <a:bodyPr rot="0" vert="horz"/>
          <a:lstStyle/>
          <a:p>
            <a:pPr>
              <a:defRPr sz="903" b="0" i="0" u="none" strike="noStrike" baseline="0">
                <a:solidFill>
                  <a:srgbClr val="000000"/>
                </a:solidFill>
                <a:latin typeface="Arial"/>
                <a:ea typeface="Arial"/>
                <a:cs typeface="Arial"/>
              </a:defRPr>
            </a:pPr>
            <a:endParaRPr lang="es-CO"/>
          </a:p>
        </c:txPr>
        <c:crossAx val="67635072"/>
        <c:crosses val="autoZero"/>
        <c:auto val="1"/>
        <c:lblAlgn val="ctr"/>
        <c:lblOffset val="100"/>
        <c:tickLblSkip val="1"/>
        <c:tickMarkSkip val="1"/>
      </c:catAx>
      <c:valAx>
        <c:axId val="67635072"/>
        <c:scaling>
          <c:orientation val="minMax"/>
        </c:scaling>
        <c:axPos val="l"/>
        <c:majorGridlines>
          <c:spPr>
            <a:ln w="3187">
              <a:solidFill>
                <a:srgbClr val="000000"/>
              </a:solidFill>
              <a:prstDash val="solid"/>
            </a:ln>
          </c:spPr>
        </c:majorGridlines>
        <c:title>
          <c:tx>
            <c:rich>
              <a:bodyPr/>
              <a:lstStyle/>
              <a:p>
                <a:pPr>
                  <a:defRPr sz="903" b="1" i="0" u="none" strike="noStrike" baseline="0">
                    <a:solidFill>
                      <a:srgbClr val="000000"/>
                    </a:solidFill>
                    <a:latin typeface="Arial"/>
                    <a:ea typeface="Arial"/>
                    <a:cs typeface="Arial"/>
                  </a:defRPr>
                </a:pPr>
                <a:r>
                  <a:rPr lang="es-CO"/>
                  <a:t>Porcentaje</a:t>
                </a:r>
              </a:p>
            </c:rich>
          </c:tx>
          <c:layout>
            <c:manualLayout>
              <c:xMode val="edge"/>
              <c:yMode val="edge"/>
              <c:x val="3.2738100719866201E-2"/>
              <c:y val="0.42666666666666697"/>
            </c:manualLayout>
          </c:layout>
          <c:spPr>
            <a:noFill/>
            <a:ln w="25493">
              <a:noFill/>
            </a:ln>
          </c:spPr>
        </c:title>
        <c:numFmt formatCode="0%" sourceLinked="1"/>
        <c:tickLblPos val="nextTo"/>
        <c:spPr>
          <a:ln w="3187">
            <a:solidFill>
              <a:srgbClr val="000000"/>
            </a:solidFill>
            <a:prstDash val="solid"/>
          </a:ln>
        </c:spPr>
        <c:txPr>
          <a:bodyPr rot="0" vert="horz"/>
          <a:lstStyle/>
          <a:p>
            <a:pPr>
              <a:defRPr sz="903" b="0" i="0" u="none" strike="noStrike" baseline="0">
                <a:solidFill>
                  <a:srgbClr val="000000"/>
                </a:solidFill>
                <a:latin typeface="Arial"/>
                <a:ea typeface="Arial"/>
                <a:cs typeface="Arial"/>
              </a:defRPr>
            </a:pPr>
            <a:endParaRPr lang="es-CO"/>
          </a:p>
        </c:txPr>
        <c:crossAx val="67586304"/>
        <c:crosses val="autoZero"/>
        <c:crossBetween val="between"/>
      </c:valAx>
      <c:spPr>
        <a:solidFill>
          <a:srgbClr val="C0C0C0"/>
        </a:solidFill>
        <a:ln w="12746">
          <a:solidFill>
            <a:srgbClr val="808080"/>
          </a:solidFill>
          <a:prstDash val="solid"/>
        </a:ln>
      </c:spPr>
    </c:plotArea>
    <c:plotVisOnly val="1"/>
    <c:dispBlanksAs val="gap"/>
  </c:chart>
  <c:spPr>
    <a:solidFill>
      <a:srgbClr val="FFFFFF"/>
    </a:solidFill>
    <a:ln w="3187">
      <a:solidFill>
        <a:srgbClr val="000000"/>
      </a:solidFill>
      <a:prstDash val="solid"/>
    </a:ln>
  </c:spPr>
  <c:txPr>
    <a:bodyPr/>
    <a:lstStyle/>
    <a:p>
      <a:pPr>
        <a:defRPr sz="903" b="0" i="0" u="none" strike="noStrike" baseline="0">
          <a:solidFill>
            <a:srgbClr val="000000"/>
          </a:solidFill>
          <a:latin typeface="Arial"/>
          <a:ea typeface="Arial"/>
          <a:cs typeface="Arial"/>
        </a:defRPr>
      </a:pPr>
      <a:endParaRPr lang="es-CO"/>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CO"/>
  <c:clrMapOvr bg1="lt1" tx1="dk1" bg2="lt2" tx2="dk2" accent1="accent1" accent2="accent2" accent3="accent3" accent4="accent4" accent5="accent5" accent6="accent6" hlink="hlink" folHlink="folHlink"/>
  <c:chart>
    <c:title>
      <c:tx>
        <c:rich>
          <a:bodyPr/>
          <a:lstStyle/>
          <a:p>
            <a:pPr>
              <a:defRPr sz="1178" b="1" i="0" u="none" strike="noStrike" baseline="0">
                <a:solidFill>
                  <a:srgbClr val="000000"/>
                </a:solidFill>
                <a:latin typeface="Arial"/>
                <a:ea typeface="Arial"/>
                <a:cs typeface="Arial"/>
              </a:defRPr>
            </a:pPr>
            <a:r>
              <a:rPr lang="es-CO"/>
              <a:t>Variación Margianal Recursos del SGP</a:t>
            </a:r>
          </a:p>
        </c:rich>
      </c:tx>
      <c:layout>
        <c:manualLayout>
          <c:xMode val="edge"/>
          <c:yMode val="edge"/>
          <c:x val="0.14824797843665771"/>
          <c:y val="1.7857142857142856E-2"/>
        </c:manualLayout>
      </c:layout>
      <c:spPr>
        <a:noFill/>
        <a:ln w="25468">
          <a:noFill/>
        </a:ln>
      </c:spPr>
    </c:title>
    <c:plotArea>
      <c:layout>
        <c:manualLayout>
          <c:layoutTarget val="inner"/>
          <c:xMode val="edge"/>
          <c:yMode val="edge"/>
          <c:x val="0.2164383561643842"/>
          <c:y val="0.36866359447004632"/>
          <c:w val="0.7561643835616435"/>
          <c:h val="0.42396313364055332"/>
        </c:manualLayout>
      </c:layout>
      <c:lineChart>
        <c:grouping val="standard"/>
        <c:ser>
          <c:idx val="0"/>
          <c:order val="0"/>
          <c:spPr>
            <a:ln w="12734">
              <a:solidFill>
                <a:srgbClr val="000080"/>
              </a:solidFill>
              <a:prstDash val="solid"/>
            </a:ln>
          </c:spPr>
          <c:marker>
            <c:symbol val="circle"/>
            <c:size val="4"/>
            <c:spPr>
              <a:solidFill>
                <a:srgbClr val="000080"/>
              </a:solidFill>
              <a:ln>
                <a:solidFill>
                  <a:srgbClr val="000080"/>
                </a:solidFill>
                <a:prstDash val="solid"/>
              </a:ln>
            </c:spPr>
          </c:marker>
          <c:cat>
            <c:strRef>
              <c:f>Indicadores!$D$4:$E$4</c:f>
              <c:strCache>
                <c:ptCount val="2"/>
                <c:pt idx="0">
                  <c:v>2005-2006</c:v>
                </c:pt>
                <c:pt idx="1">
                  <c:v>2006-2007</c:v>
                </c:pt>
              </c:strCache>
            </c:strRef>
          </c:cat>
          <c:val>
            <c:numRef>
              <c:f>Indicadores!$D$15:$E$15</c:f>
              <c:numCache>
                <c:formatCode>0%</c:formatCode>
                <c:ptCount val="2"/>
                <c:pt idx="0">
                  <c:v>-0.18883583551971594</c:v>
                </c:pt>
                <c:pt idx="1">
                  <c:v>0.54327143072201678</c:v>
                </c:pt>
              </c:numCache>
            </c:numRef>
          </c:val>
        </c:ser>
        <c:marker val="1"/>
        <c:axId val="76033024"/>
        <c:axId val="77895168"/>
      </c:lineChart>
      <c:catAx>
        <c:axId val="76033024"/>
        <c:scaling>
          <c:orientation val="minMax"/>
        </c:scaling>
        <c:axPos val="b"/>
        <c:title>
          <c:tx>
            <c:rich>
              <a:bodyPr/>
              <a:lstStyle/>
              <a:p>
                <a:pPr>
                  <a:defRPr sz="978" b="1" i="0" u="none" strike="noStrike" baseline="0">
                    <a:solidFill>
                      <a:srgbClr val="000000"/>
                    </a:solidFill>
                    <a:latin typeface="Arial"/>
                    <a:ea typeface="Arial"/>
                    <a:cs typeface="Arial"/>
                  </a:defRPr>
                </a:pPr>
                <a:r>
                  <a:rPr lang="es-CO"/>
                  <a:t>Período</a:t>
                </a:r>
              </a:p>
            </c:rich>
          </c:tx>
          <c:layout>
            <c:manualLayout>
              <c:xMode val="edge"/>
              <c:yMode val="edge"/>
              <c:x val="0.52054785604629661"/>
              <c:y val="0.8433180227471565"/>
            </c:manualLayout>
          </c:layout>
          <c:spPr>
            <a:noFill/>
            <a:ln w="25468">
              <a:noFill/>
            </a:ln>
          </c:spPr>
        </c:title>
        <c:numFmt formatCode="General" sourceLinked="1"/>
        <c:tickLblPos val="nextTo"/>
        <c:spPr>
          <a:ln w="3184">
            <a:solidFill>
              <a:srgbClr val="000000"/>
            </a:solidFill>
            <a:prstDash val="solid"/>
          </a:ln>
        </c:spPr>
        <c:txPr>
          <a:bodyPr rot="0" vert="horz"/>
          <a:lstStyle/>
          <a:p>
            <a:pPr>
              <a:defRPr sz="978" b="0" i="0" u="none" strike="noStrike" baseline="0">
                <a:solidFill>
                  <a:srgbClr val="000000"/>
                </a:solidFill>
                <a:latin typeface="Arial"/>
                <a:ea typeface="Arial"/>
                <a:cs typeface="Arial"/>
              </a:defRPr>
            </a:pPr>
            <a:endParaRPr lang="es-CO"/>
          </a:p>
        </c:txPr>
        <c:crossAx val="77895168"/>
        <c:crosses val="autoZero"/>
        <c:auto val="1"/>
        <c:lblAlgn val="ctr"/>
        <c:lblOffset val="100"/>
        <c:tickLblSkip val="1"/>
        <c:tickMarkSkip val="1"/>
      </c:catAx>
      <c:valAx>
        <c:axId val="77895168"/>
        <c:scaling>
          <c:orientation val="minMax"/>
        </c:scaling>
        <c:axPos val="l"/>
        <c:majorGridlines>
          <c:spPr>
            <a:ln w="3184">
              <a:solidFill>
                <a:srgbClr val="000000"/>
              </a:solidFill>
              <a:prstDash val="solid"/>
            </a:ln>
          </c:spPr>
        </c:majorGridlines>
        <c:title>
          <c:tx>
            <c:rich>
              <a:bodyPr/>
              <a:lstStyle/>
              <a:p>
                <a:pPr>
                  <a:defRPr sz="978" b="1" i="0" u="none" strike="noStrike" baseline="0">
                    <a:solidFill>
                      <a:srgbClr val="000000"/>
                    </a:solidFill>
                    <a:latin typeface="Arial"/>
                    <a:ea typeface="Arial"/>
                    <a:cs typeface="Arial"/>
                  </a:defRPr>
                </a:pPr>
                <a:r>
                  <a:rPr lang="es-CO"/>
                  <a:t>Porcentaje</a:t>
                </a:r>
              </a:p>
            </c:rich>
          </c:tx>
          <c:layout>
            <c:manualLayout>
              <c:xMode val="edge"/>
              <c:yMode val="edge"/>
              <c:x val="3.0136893265700279E-2"/>
              <c:y val="0.41474671916010497"/>
            </c:manualLayout>
          </c:layout>
          <c:spPr>
            <a:noFill/>
            <a:ln w="25468">
              <a:noFill/>
            </a:ln>
          </c:spPr>
        </c:title>
        <c:numFmt formatCode="0%" sourceLinked="1"/>
        <c:tickLblPos val="nextTo"/>
        <c:spPr>
          <a:ln w="3184">
            <a:solidFill>
              <a:srgbClr val="000000"/>
            </a:solidFill>
            <a:prstDash val="solid"/>
          </a:ln>
        </c:spPr>
        <c:txPr>
          <a:bodyPr rot="0" vert="horz"/>
          <a:lstStyle/>
          <a:p>
            <a:pPr>
              <a:defRPr sz="978" b="0" i="0" u="none" strike="noStrike" baseline="0">
                <a:solidFill>
                  <a:srgbClr val="000000"/>
                </a:solidFill>
                <a:latin typeface="Arial"/>
                <a:ea typeface="Arial"/>
                <a:cs typeface="Arial"/>
              </a:defRPr>
            </a:pPr>
            <a:endParaRPr lang="es-CO"/>
          </a:p>
        </c:txPr>
        <c:crossAx val="76033024"/>
        <c:crosses val="autoZero"/>
        <c:crossBetween val="between"/>
      </c:valAx>
      <c:spPr>
        <a:solidFill>
          <a:srgbClr val="C0C0C0"/>
        </a:solidFill>
        <a:ln w="12734">
          <a:solidFill>
            <a:srgbClr val="808080"/>
          </a:solidFill>
          <a:prstDash val="solid"/>
        </a:ln>
      </c:spPr>
    </c:plotArea>
    <c:plotVisOnly val="1"/>
    <c:dispBlanksAs val="gap"/>
  </c:chart>
  <c:spPr>
    <a:solidFill>
      <a:srgbClr val="FFFFFF"/>
    </a:solidFill>
    <a:ln w="3184">
      <a:solidFill>
        <a:srgbClr val="000000"/>
      </a:solidFill>
      <a:prstDash val="solid"/>
    </a:ln>
  </c:spPr>
  <c:txPr>
    <a:bodyPr/>
    <a:lstStyle/>
    <a:p>
      <a:pPr>
        <a:defRPr sz="978" b="0" i="0" u="none" strike="noStrike" baseline="0">
          <a:solidFill>
            <a:srgbClr val="000000"/>
          </a:solidFill>
          <a:latin typeface="Arial"/>
          <a:ea typeface="Arial"/>
          <a:cs typeface="Arial"/>
        </a:defRPr>
      </a:pPr>
      <a:endParaRPr lang="es-CO"/>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s-CO"/>
  <c:clrMapOvr bg1="lt1" tx1="dk1" bg2="lt2" tx2="dk2" accent1="accent1" accent2="accent2" accent3="accent3" accent4="accent4" accent5="accent5" accent6="accent6" hlink="hlink" folHlink="folHlink"/>
  <c:chart>
    <c:title>
      <c:tx>
        <c:rich>
          <a:bodyPr/>
          <a:lstStyle/>
          <a:p>
            <a:pPr>
              <a:defRPr sz="1178" b="1" i="0" u="none" strike="noStrike" baseline="0">
                <a:solidFill>
                  <a:srgbClr val="000000"/>
                </a:solidFill>
                <a:latin typeface="Arial"/>
                <a:ea typeface="Arial"/>
                <a:cs typeface="Arial"/>
              </a:defRPr>
            </a:pPr>
            <a:r>
              <a:rPr lang="es-CO"/>
              <a:t>Variación Marginal ransferencias</a:t>
            </a:r>
          </a:p>
        </c:rich>
      </c:tx>
      <c:layout>
        <c:manualLayout>
          <c:xMode val="edge"/>
          <c:yMode val="edge"/>
          <c:x val="0.15633423180593015"/>
          <c:y val="2.2123893805309755E-2"/>
        </c:manualLayout>
      </c:layout>
      <c:spPr>
        <a:noFill/>
        <a:ln w="25468">
          <a:noFill/>
        </a:ln>
      </c:spPr>
    </c:title>
    <c:plotArea>
      <c:layout>
        <c:manualLayout>
          <c:layoutTarget val="inner"/>
          <c:xMode val="edge"/>
          <c:yMode val="edge"/>
          <c:x val="0.20821917808219237"/>
          <c:y val="0.26940639269406458"/>
          <c:w val="0.7643835616438357"/>
          <c:h val="0.52511415525114158"/>
        </c:manualLayout>
      </c:layout>
      <c:lineChart>
        <c:grouping val="standard"/>
        <c:ser>
          <c:idx val="0"/>
          <c:order val="0"/>
          <c:spPr>
            <a:ln w="12734">
              <a:solidFill>
                <a:srgbClr val="000080"/>
              </a:solidFill>
              <a:prstDash val="solid"/>
            </a:ln>
          </c:spPr>
          <c:marker>
            <c:symbol val="circle"/>
            <c:size val="4"/>
            <c:spPr>
              <a:solidFill>
                <a:srgbClr val="000080"/>
              </a:solidFill>
              <a:ln>
                <a:solidFill>
                  <a:srgbClr val="000080"/>
                </a:solidFill>
                <a:prstDash val="solid"/>
              </a:ln>
            </c:spPr>
          </c:marker>
          <c:cat>
            <c:strRef>
              <c:f>Indicadores!$D$4:$E$4</c:f>
              <c:strCache>
                <c:ptCount val="2"/>
                <c:pt idx="0">
                  <c:v>2005-2006</c:v>
                </c:pt>
                <c:pt idx="1">
                  <c:v>2006-2007</c:v>
                </c:pt>
              </c:strCache>
            </c:strRef>
          </c:cat>
          <c:val>
            <c:numRef>
              <c:f>Indicadores!$D$15:$E$15</c:f>
              <c:numCache>
                <c:formatCode>0%</c:formatCode>
                <c:ptCount val="2"/>
                <c:pt idx="0">
                  <c:v>-0.18883583551971594</c:v>
                </c:pt>
                <c:pt idx="1">
                  <c:v>0.54327143072201678</c:v>
                </c:pt>
              </c:numCache>
            </c:numRef>
          </c:val>
        </c:ser>
        <c:marker val="1"/>
        <c:axId val="138334976"/>
        <c:axId val="138769920"/>
      </c:lineChart>
      <c:catAx>
        <c:axId val="138334976"/>
        <c:scaling>
          <c:orientation val="minMax"/>
        </c:scaling>
        <c:axPos val="b"/>
        <c:title>
          <c:tx>
            <c:rich>
              <a:bodyPr/>
              <a:lstStyle/>
              <a:p>
                <a:pPr>
                  <a:defRPr sz="978" b="1" i="0" u="none" strike="noStrike" baseline="0">
                    <a:solidFill>
                      <a:srgbClr val="000000"/>
                    </a:solidFill>
                    <a:latin typeface="Arial"/>
                    <a:ea typeface="Arial"/>
                    <a:cs typeface="Arial"/>
                  </a:defRPr>
                </a:pPr>
                <a:r>
                  <a:rPr lang="es-CO"/>
                  <a:t>Período</a:t>
                </a:r>
              </a:p>
            </c:rich>
          </c:tx>
          <c:layout>
            <c:manualLayout>
              <c:xMode val="edge"/>
              <c:yMode val="edge"/>
              <c:x val="0.51506844663285012"/>
              <c:y val="0.84474870393266954"/>
            </c:manualLayout>
          </c:layout>
          <c:spPr>
            <a:noFill/>
            <a:ln w="25468">
              <a:noFill/>
            </a:ln>
          </c:spPr>
        </c:title>
        <c:numFmt formatCode="General" sourceLinked="1"/>
        <c:tickLblPos val="nextTo"/>
        <c:spPr>
          <a:ln w="3184">
            <a:solidFill>
              <a:srgbClr val="000000"/>
            </a:solidFill>
            <a:prstDash val="solid"/>
          </a:ln>
        </c:spPr>
        <c:txPr>
          <a:bodyPr rot="0" vert="horz"/>
          <a:lstStyle/>
          <a:p>
            <a:pPr>
              <a:defRPr sz="978" b="0" i="0" u="none" strike="noStrike" baseline="0">
                <a:solidFill>
                  <a:srgbClr val="000000"/>
                </a:solidFill>
                <a:latin typeface="Arial"/>
                <a:ea typeface="Arial"/>
                <a:cs typeface="Arial"/>
              </a:defRPr>
            </a:pPr>
            <a:endParaRPr lang="es-CO"/>
          </a:p>
        </c:txPr>
        <c:crossAx val="138769920"/>
        <c:crosses val="autoZero"/>
        <c:auto val="1"/>
        <c:lblAlgn val="ctr"/>
        <c:lblOffset val="100"/>
        <c:tickLblSkip val="1"/>
        <c:tickMarkSkip val="1"/>
      </c:catAx>
      <c:valAx>
        <c:axId val="138769920"/>
        <c:scaling>
          <c:orientation val="minMax"/>
        </c:scaling>
        <c:axPos val="l"/>
        <c:majorGridlines>
          <c:spPr>
            <a:ln w="3184">
              <a:solidFill>
                <a:srgbClr val="000000"/>
              </a:solidFill>
              <a:prstDash val="solid"/>
            </a:ln>
          </c:spPr>
        </c:majorGridlines>
        <c:title>
          <c:tx>
            <c:rich>
              <a:bodyPr/>
              <a:lstStyle/>
              <a:p>
                <a:pPr>
                  <a:defRPr sz="978" b="1" i="0" u="none" strike="noStrike" baseline="0">
                    <a:solidFill>
                      <a:srgbClr val="000000"/>
                    </a:solidFill>
                    <a:latin typeface="Arial"/>
                    <a:ea typeface="Arial"/>
                    <a:cs typeface="Arial"/>
                  </a:defRPr>
                </a:pPr>
                <a:r>
                  <a:rPr lang="es-CO"/>
                  <a:t>Porcentaje</a:t>
                </a:r>
              </a:p>
            </c:rich>
          </c:tx>
          <c:layout>
            <c:manualLayout>
              <c:xMode val="edge"/>
              <c:yMode val="edge"/>
              <c:x val="3.0136893265700279E-2"/>
              <c:y val="0.36529663130951634"/>
            </c:manualLayout>
          </c:layout>
          <c:spPr>
            <a:noFill/>
            <a:ln w="25468">
              <a:noFill/>
            </a:ln>
          </c:spPr>
        </c:title>
        <c:numFmt formatCode="0%" sourceLinked="1"/>
        <c:tickLblPos val="nextTo"/>
        <c:spPr>
          <a:ln w="3184">
            <a:solidFill>
              <a:srgbClr val="000000"/>
            </a:solidFill>
            <a:prstDash val="solid"/>
          </a:ln>
        </c:spPr>
        <c:txPr>
          <a:bodyPr rot="0" vert="horz"/>
          <a:lstStyle/>
          <a:p>
            <a:pPr>
              <a:defRPr sz="978" b="0" i="0" u="none" strike="noStrike" baseline="0">
                <a:solidFill>
                  <a:srgbClr val="000000"/>
                </a:solidFill>
                <a:latin typeface="Arial"/>
                <a:ea typeface="Arial"/>
                <a:cs typeface="Arial"/>
              </a:defRPr>
            </a:pPr>
            <a:endParaRPr lang="es-CO"/>
          </a:p>
        </c:txPr>
        <c:crossAx val="138334976"/>
        <c:crosses val="autoZero"/>
        <c:crossBetween val="between"/>
      </c:valAx>
      <c:spPr>
        <a:solidFill>
          <a:srgbClr val="C0C0C0"/>
        </a:solidFill>
        <a:ln w="12734">
          <a:solidFill>
            <a:srgbClr val="808080"/>
          </a:solidFill>
          <a:prstDash val="solid"/>
        </a:ln>
      </c:spPr>
    </c:plotArea>
    <c:plotVisOnly val="1"/>
    <c:dispBlanksAs val="gap"/>
  </c:chart>
  <c:spPr>
    <a:solidFill>
      <a:srgbClr val="FFFFFF"/>
    </a:solidFill>
    <a:ln w="3184">
      <a:solidFill>
        <a:srgbClr val="000000"/>
      </a:solidFill>
      <a:prstDash val="solid"/>
    </a:ln>
  </c:spPr>
  <c:txPr>
    <a:bodyPr/>
    <a:lstStyle/>
    <a:p>
      <a:pPr>
        <a:defRPr sz="978" b="0" i="0" u="none" strike="noStrike" baseline="0">
          <a:solidFill>
            <a:srgbClr val="000000"/>
          </a:solidFill>
          <a:latin typeface="Arial"/>
          <a:ea typeface="Arial"/>
          <a:cs typeface="Arial"/>
        </a:defRPr>
      </a:pPr>
      <a:endParaRPr lang="es-CO"/>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s-CO"/>
  <c:clrMapOvr bg1="lt1" tx1="dk1" bg2="lt2" tx2="dk2" accent1="accent1" accent2="accent2" accent3="accent3" accent4="accent4" accent5="accent5" accent6="accent6" hlink="hlink" folHlink="folHlink"/>
  <c:chart>
    <c:title>
      <c:tx>
        <c:rich>
          <a:bodyPr/>
          <a:lstStyle/>
          <a:p>
            <a:pPr>
              <a:defRPr sz="1178" b="1" i="0" u="none" strike="noStrike" baseline="0">
                <a:solidFill>
                  <a:srgbClr val="000000"/>
                </a:solidFill>
                <a:latin typeface="Arial"/>
                <a:ea typeface="Arial"/>
                <a:cs typeface="Arial"/>
              </a:defRPr>
            </a:pPr>
            <a:r>
              <a:rPr lang="es-CO"/>
              <a:t>Variación Marginal Pagos de Funcionamiento</a:t>
            </a:r>
          </a:p>
        </c:rich>
      </c:tx>
      <c:layout>
        <c:manualLayout>
          <c:xMode val="edge"/>
          <c:yMode val="edge"/>
          <c:x val="0.19946091644204864"/>
          <c:y val="1.8450184501845025E-2"/>
        </c:manualLayout>
      </c:layout>
      <c:spPr>
        <a:noFill/>
        <a:ln w="25469">
          <a:noFill/>
        </a:ln>
      </c:spPr>
    </c:title>
    <c:plotArea>
      <c:layout>
        <c:manualLayout>
          <c:layoutTarget val="inner"/>
          <c:xMode val="edge"/>
          <c:yMode val="edge"/>
          <c:x val="0.17808219178082232"/>
          <c:y val="0.31060606060606116"/>
          <c:w val="0.79452054794520433"/>
          <c:h val="0.44318181818181834"/>
        </c:manualLayout>
      </c:layout>
      <c:lineChart>
        <c:grouping val="standard"/>
        <c:ser>
          <c:idx val="0"/>
          <c:order val="0"/>
          <c:spPr>
            <a:ln w="12735">
              <a:solidFill>
                <a:srgbClr val="000080"/>
              </a:solidFill>
              <a:prstDash val="solid"/>
            </a:ln>
          </c:spPr>
          <c:marker>
            <c:symbol val="circle"/>
            <c:size val="4"/>
            <c:spPr>
              <a:solidFill>
                <a:srgbClr val="000080"/>
              </a:solidFill>
              <a:ln>
                <a:solidFill>
                  <a:srgbClr val="000080"/>
                </a:solidFill>
                <a:prstDash val="solid"/>
              </a:ln>
            </c:spPr>
          </c:marker>
          <c:val>
            <c:numRef>
              <c:f>Indicadores!$C$21:$E$21</c:f>
              <c:numCache>
                <c:formatCode>0%</c:formatCode>
                <c:ptCount val="3"/>
                <c:pt idx="0">
                  <c:v>0</c:v>
                </c:pt>
                <c:pt idx="1">
                  <c:v>2.0852130325814473E-2</c:v>
                </c:pt>
                <c:pt idx="2">
                  <c:v>3.6483827017207461E-2</c:v>
                </c:pt>
              </c:numCache>
            </c:numRef>
          </c:val>
        </c:ser>
        <c:marker val="1"/>
        <c:axId val="168122624"/>
        <c:axId val="170345600"/>
      </c:lineChart>
      <c:catAx>
        <c:axId val="168122624"/>
        <c:scaling>
          <c:orientation val="minMax"/>
        </c:scaling>
        <c:axPos val="b"/>
        <c:title>
          <c:tx>
            <c:rich>
              <a:bodyPr/>
              <a:lstStyle/>
              <a:p>
                <a:pPr>
                  <a:defRPr sz="978" b="1" i="0" u="none" strike="noStrike" baseline="0">
                    <a:solidFill>
                      <a:srgbClr val="000000"/>
                    </a:solidFill>
                    <a:latin typeface="Arial"/>
                    <a:ea typeface="Arial"/>
                    <a:cs typeface="Arial"/>
                  </a:defRPr>
                </a:pPr>
                <a:r>
                  <a:rPr lang="es-CO"/>
                  <a:t>Periodos</a:t>
                </a:r>
              </a:p>
            </c:rich>
          </c:tx>
          <c:layout>
            <c:manualLayout>
              <c:xMode val="edge"/>
              <c:yMode val="edge"/>
              <c:x val="0.49315080897906666"/>
              <c:y val="0.87121219603647115"/>
            </c:manualLayout>
          </c:layout>
          <c:spPr>
            <a:noFill/>
            <a:ln w="25469">
              <a:noFill/>
            </a:ln>
          </c:spPr>
        </c:title>
        <c:numFmt formatCode="General" sourceLinked="1"/>
        <c:tickLblPos val="nextTo"/>
        <c:spPr>
          <a:ln w="3184">
            <a:solidFill>
              <a:srgbClr val="000000"/>
            </a:solidFill>
            <a:prstDash val="solid"/>
          </a:ln>
        </c:spPr>
        <c:txPr>
          <a:bodyPr rot="0" vert="horz"/>
          <a:lstStyle/>
          <a:p>
            <a:pPr>
              <a:defRPr sz="978" b="0" i="0" u="none" strike="noStrike" baseline="0">
                <a:solidFill>
                  <a:srgbClr val="000000"/>
                </a:solidFill>
                <a:latin typeface="Arial"/>
                <a:ea typeface="Arial"/>
                <a:cs typeface="Arial"/>
              </a:defRPr>
            </a:pPr>
            <a:endParaRPr lang="es-CO"/>
          </a:p>
        </c:txPr>
        <c:crossAx val="170345600"/>
        <c:crosses val="autoZero"/>
        <c:auto val="1"/>
        <c:lblAlgn val="ctr"/>
        <c:lblOffset val="100"/>
        <c:tickLblSkip val="1"/>
        <c:tickMarkSkip val="1"/>
      </c:catAx>
      <c:valAx>
        <c:axId val="170345600"/>
        <c:scaling>
          <c:orientation val="minMax"/>
        </c:scaling>
        <c:axPos val="l"/>
        <c:majorGridlines>
          <c:spPr>
            <a:ln w="3184">
              <a:solidFill>
                <a:srgbClr val="000000"/>
              </a:solidFill>
              <a:prstDash val="solid"/>
            </a:ln>
          </c:spPr>
        </c:majorGridlines>
        <c:title>
          <c:tx>
            <c:rich>
              <a:bodyPr/>
              <a:lstStyle/>
              <a:p>
                <a:pPr>
                  <a:defRPr sz="978" b="1" i="0" u="none" strike="noStrike" baseline="0">
                    <a:solidFill>
                      <a:srgbClr val="000000"/>
                    </a:solidFill>
                    <a:latin typeface="Arial"/>
                    <a:ea typeface="Arial"/>
                    <a:cs typeface="Arial"/>
                  </a:defRPr>
                </a:pPr>
                <a:r>
                  <a:rPr lang="es-CO"/>
                  <a:t>Porcentajes</a:t>
                </a:r>
              </a:p>
            </c:rich>
          </c:tx>
          <c:layout>
            <c:manualLayout>
              <c:xMode val="edge"/>
              <c:yMode val="edge"/>
              <c:x val="3.0136893265700279E-2"/>
              <c:y val="0.38257583655701582"/>
            </c:manualLayout>
          </c:layout>
          <c:spPr>
            <a:noFill/>
            <a:ln w="25469">
              <a:noFill/>
            </a:ln>
          </c:spPr>
        </c:title>
        <c:numFmt formatCode="0%" sourceLinked="1"/>
        <c:tickLblPos val="nextTo"/>
        <c:spPr>
          <a:ln w="3184">
            <a:solidFill>
              <a:srgbClr val="000000"/>
            </a:solidFill>
            <a:prstDash val="solid"/>
          </a:ln>
        </c:spPr>
        <c:txPr>
          <a:bodyPr rot="0" vert="horz"/>
          <a:lstStyle/>
          <a:p>
            <a:pPr>
              <a:defRPr sz="978" b="0" i="0" u="none" strike="noStrike" baseline="0">
                <a:solidFill>
                  <a:srgbClr val="000000"/>
                </a:solidFill>
                <a:latin typeface="Arial"/>
                <a:ea typeface="Arial"/>
                <a:cs typeface="Arial"/>
              </a:defRPr>
            </a:pPr>
            <a:endParaRPr lang="es-CO"/>
          </a:p>
        </c:txPr>
        <c:crossAx val="168122624"/>
        <c:crosses val="autoZero"/>
        <c:crossBetween val="between"/>
      </c:valAx>
      <c:spPr>
        <a:solidFill>
          <a:srgbClr val="C0C0C0"/>
        </a:solidFill>
        <a:ln w="12735">
          <a:solidFill>
            <a:srgbClr val="808080"/>
          </a:solidFill>
          <a:prstDash val="solid"/>
        </a:ln>
      </c:spPr>
    </c:plotArea>
    <c:plotVisOnly val="1"/>
    <c:dispBlanksAs val="gap"/>
  </c:chart>
  <c:spPr>
    <a:solidFill>
      <a:srgbClr val="FFFFFF"/>
    </a:solidFill>
    <a:ln w="3184">
      <a:solidFill>
        <a:srgbClr val="000000"/>
      </a:solidFill>
      <a:prstDash val="solid"/>
    </a:ln>
  </c:spPr>
  <c:txPr>
    <a:bodyPr/>
    <a:lstStyle/>
    <a:p>
      <a:pPr>
        <a:defRPr sz="978" b="0" i="0" u="none" strike="noStrike" baseline="0">
          <a:solidFill>
            <a:srgbClr val="000000"/>
          </a:solidFill>
          <a:latin typeface="Arial"/>
          <a:ea typeface="Arial"/>
          <a:cs typeface="Arial"/>
        </a:defRPr>
      </a:pPr>
      <a:endParaRPr lang="es-CO"/>
    </a:p>
  </c:txPr>
  <c:externalData r:id="rId2"/>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12</TotalTime>
  <Pages>14</Pages>
  <Words>2190</Words>
  <Characters>12050</Characters>
  <Application>Microsoft Office Word</Application>
  <DocSecurity>0</DocSecurity>
  <Lines>100</Lines>
  <Paragraphs>28</Paragraphs>
  <ScaleCrop>false</ScaleCrop>
  <Company>Hewlett-Packard</Company>
  <LinksUpToDate>false</LinksUpToDate>
  <CharactersWithSpaces>14212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8</cp:revision>
  <dcterms:created xsi:type="dcterms:W3CDTF">2008-05-09T04:34:00Z</dcterms:created>
  <dcterms:modified xsi:type="dcterms:W3CDTF">2008-05-09T08:35:00Z</dcterms:modified>
</cp:coreProperties>
</file>